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B9" w:rsidRDefault="00706E10" w:rsidP="008C69B9">
      <w:pPr>
        <w:rPr>
          <w:rFonts w:ascii="仿宋_GB2312" w:eastAsia="仿宋_GB2312"/>
          <w:sz w:val="32"/>
        </w:rPr>
      </w:pPr>
      <w:r w:rsidRPr="00706E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7.8pt;width:441pt;height:54.45pt;z-index:251657216" filled="f" stroked="f" strokecolor="white">
            <v:textbox style="mso-next-textbox:#_x0000_s1026">
              <w:txbxContent>
                <w:p w:rsidR="008C69B9" w:rsidRDefault="008C69B9" w:rsidP="008C69B9">
                  <w:pPr>
                    <w:jc w:val="center"/>
                    <w:rPr>
                      <w:rFonts w:ascii="方正小标宋简体" w:eastAsia="方正小标宋简体"/>
                      <w:color w:val="FF0000"/>
                      <w:w w:val="110"/>
                      <w:sz w:val="68"/>
                      <w:szCs w:val="68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z w:val="68"/>
                      <w:szCs w:val="68"/>
                    </w:rPr>
                    <w:t>江苏省终身教育研究会文</w:t>
                  </w:r>
                  <w:r>
                    <w:rPr>
                      <w:rFonts w:ascii="方正小标宋简体" w:eastAsia="方正小标宋简体" w:hint="eastAsia"/>
                      <w:color w:val="FF0000"/>
                      <w:w w:val="110"/>
                      <w:sz w:val="68"/>
                      <w:szCs w:val="68"/>
                    </w:rPr>
                    <w:t>件</w:t>
                  </w:r>
                </w:p>
              </w:txbxContent>
            </v:textbox>
            <w10:wrap anchorx="page"/>
          </v:shape>
        </w:pict>
      </w:r>
    </w:p>
    <w:p w:rsidR="008C69B9" w:rsidRDefault="008C69B9" w:rsidP="008C69B9">
      <w:pPr>
        <w:rPr>
          <w:rFonts w:ascii="仿宋_GB2312" w:eastAsia="仿宋_GB2312"/>
          <w:sz w:val="32"/>
        </w:rPr>
      </w:pPr>
    </w:p>
    <w:p w:rsidR="008C69B9" w:rsidRDefault="008C69B9" w:rsidP="008C69B9">
      <w:pPr>
        <w:jc w:val="center"/>
        <w:rPr>
          <w:rFonts w:ascii="微软雅黑" w:eastAsia="微软雅黑" w:hAnsi="微软雅黑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>苏终教会〔201</w:t>
      </w:r>
      <w:r w:rsidR="00C41394">
        <w:rPr>
          <w:rFonts w:ascii="微软雅黑" w:eastAsia="微软雅黑" w:hAnsi="微软雅黑" w:hint="eastAsia"/>
          <w:color w:val="333333"/>
          <w:sz w:val="30"/>
          <w:szCs w:val="30"/>
        </w:rPr>
        <w:t>8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〕8号</w:t>
      </w:r>
    </w:p>
    <w:p w:rsidR="008C69B9" w:rsidRDefault="00706E10" w:rsidP="008C69B9">
      <w:pPr>
        <w:jc w:val="center"/>
        <w:rPr>
          <w:rFonts w:ascii="Times New Roman" w:eastAsia="宋体" w:hAnsi="Times New Roman"/>
          <w:b/>
          <w:bCs/>
          <w:color w:val="FF0000"/>
          <w:sz w:val="32"/>
          <w:szCs w:val="24"/>
        </w:rPr>
      </w:pPr>
      <w:r w:rsidRPr="00706E10">
        <w:rPr>
          <w:rFonts w:ascii="Times New Roman" w:eastAsia="宋体" w:hAnsi="Times New Roman"/>
          <w:szCs w:val="24"/>
        </w:rPr>
        <w:pict>
          <v:line id="_x0000_s1027" style="position:absolute;left:0;text-align:left;z-index:251658240" from="0,16pt" to="441pt,16pt" strokecolor="red" strokeweight="2.25pt">
            <w10:wrap anchorx="page"/>
          </v:line>
        </w:pict>
      </w:r>
    </w:p>
    <w:p w:rsidR="0040529F" w:rsidRDefault="0040529F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AdobeHeitiStd-Regular"/>
          <w:b/>
          <w:kern w:val="0"/>
          <w:sz w:val="36"/>
          <w:szCs w:val="36"/>
        </w:rPr>
      </w:pPr>
    </w:p>
    <w:p w:rsidR="00563C97" w:rsidRDefault="0034770A" w:rsidP="00261FDB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AdobeHeitiStd-Regular"/>
          <w:b/>
          <w:kern w:val="0"/>
          <w:sz w:val="36"/>
          <w:szCs w:val="36"/>
        </w:rPr>
      </w:pPr>
      <w:r w:rsidRPr="00563C97">
        <w:rPr>
          <w:rFonts w:asciiTheme="minorEastAsia" w:hAnsiTheme="minorEastAsia" w:cs="AdobeHeitiStd-Regular" w:hint="eastAsia"/>
          <w:b/>
          <w:kern w:val="0"/>
          <w:sz w:val="36"/>
          <w:szCs w:val="36"/>
        </w:rPr>
        <w:t>关于开展</w:t>
      </w:r>
      <w:r w:rsidRPr="00563C97">
        <w:rPr>
          <w:rFonts w:asciiTheme="minorEastAsia" w:hAnsiTheme="minorEastAsia" w:cs="AdobeHeitiStd-Regular"/>
          <w:b/>
          <w:kern w:val="0"/>
          <w:sz w:val="36"/>
          <w:szCs w:val="36"/>
        </w:rPr>
        <w:t>201</w:t>
      </w:r>
      <w:r w:rsidR="0058552D" w:rsidRPr="00563C97">
        <w:rPr>
          <w:rFonts w:asciiTheme="minorEastAsia" w:hAnsiTheme="minorEastAsia" w:cs="AdobeHeitiStd-Regular" w:hint="eastAsia"/>
          <w:b/>
          <w:kern w:val="0"/>
          <w:sz w:val="36"/>
          <w:szCs w:val="36"/>
        </w:rPr>
        <w:t>8</w:t>
      </w:r>
      <w:r w:rsidR="00532F00">
        <w:rPr>
          <w:rFonts w:asciiTheme="minorEastAsia" w:hAnsiTheme="minorEastAsia" w:cs="AdobeHeitiStd-Regular" w:hint="eastAsia"/>
          <w:b/>
          <w:kern w:val="0"/>
          <w:sz w:val="36"/>
          <w:szCs w:val="36"/>
        </w:rPr>
        <w:t>-2019</w:t>
      </w:r>
      <w:r w:rsidRPr="00563C97">
        <w:rPr>
          <w:rFonts w:asciiTheme="minorEastAsia" w:hAnsiTheme="minorEastAsia" w:cs="AdobeHeitiStd-Regular" w:hint="eastAsia"/>
          <w:b/>
          <w:kern w:val="0"/>
          <w:sz w:val="36"/>
          <w:szCs w:val="36"/>
        </w:rPr>
        <w:t>年度</w:t>
      </w:r>
      <w:r w:rsidR="00261FDB" w:rsidRPr="00563C97">
        <w:rPr>
          <w:rFonts w:asciiTheme="minorEastAsia" w:hAnsiTheme="minorEastAsia" w:cs="AdobeHeitiStd-Regular" w:hint="eastAsia"/>
          <w:b/>
          <w:kern w:val="0"/>
          <w:sz w:val="36"/>
          <w:szCs w:val="36"/>
        </w:rPr>
        <w:t>江苏省终身教育研究会</w:t>
      </w:r>
    </w:p>
    <w:p w:rsidR="0034770A" w:rsidRPr="00563C97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AdobeHeitiStd-Regular"/>
          <w:b/>
          <w:kern w:val="0"/>
          <w:sz w:val="36"/>
          <w:szCs w:val="36"/>
        </w:rPr>
      </w:pPr>
      <w:r w:rsidRPr="00563C97">
        <w:rPr>
          <w:rFonts w:asciiTheme="minorEastAsia" w:hAnsiTheme="minorEastAsia" w:cs="AdobeHeitiStd-Regular" w:hint="eastAsia"/>
          <w:b/>
          <w:kern w:val="0"/>
          <w:sz w:val="36"/>
          <w:szCs w:val="36"/>
        </w:rPr>
        <w:t>科研项目申报工作的通知</w:t>
      </w:r>
    </w:p>
    <w:p w:rsidR="0034770A" w:rsidRPr="0058552D" w:rsidRDefault="0034770A" w:rsidP="0058552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各会员单位：</w:t>
      </w:r>
    </w:p>
    <w:p w:rsidR="0034770A" w:rsidRPr="0058552D" w:rsidRDefault="0034770A" w:rsidP="0058552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为促进江苏省终身教育事业的不断发展，积极探索江苏学习型社会的建设，</w:t>
      </w:r>
      <w:r w:rsidR="00EA176A">
        <w:rPr>
          <w:rFonts w:asciiTheme="minorEastAsia" w:hAnsiTheme="minorEastAsia" w:cs="FangSong" w:hint="eastAsia"/>
          <w:kern w:val="0"/>
          <w:sz w:val="24"/>
          <w:szCs w:val="24"/>
        </w:rPr>
        <w:t>推进终身教育和终身学习相关理论和实践问题的研究，现组织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开展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201</w:t>
      </w:r>
      <w:r w:rsidR="0058552D">
        <w:rPr>
          <w:rFonts w:asciiTheme="minorEastAsia" w:hAnsiTheme="minorEastAsia" w:cs="FangSong" w:hint="eastAsia"/>
          <w:kern w:val="0"/>
          <w:sz w:val="24"/>
          <w:szCs w:val="24"/>
        </w:rPr>
        <w:t>8</w:t>
      </w:r>
      <w:r w:rsidR="00EA176A">
        <w:rPr>
          <w:rFonts w:asciiTheme="minorEastAsia" w:hAnsiTheme="minorEastAsia" w:cs="FangSong" w:hint="eastAsia"/>
          <w:kern w:val="0"/>
          <w:sz w:val="24"/>
          <w:szCs w:val="24"/>
        </w:rPr>
        <w:t>年度科研项目申报工作，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有关事项通知如下：</w:t>
      </w:r>
    </w:p>
    <w:p w:rsidR="0034770A" w:rsidRPr="0058552D" w:rsidRDefault="0034770A" w:rsidP="0058552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一、项目类别及成果要求</w:t>
      </w:r>
    </w:p>
    <w:p w:rsidR="0034770A" w:rsidRPr="0058552D" w:rsidRDefault="0034770A" w:rsidP="0058552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1.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项目类别。分为重点课题、一般课题和立项课题三个类别，涵盖终身教育的基础研究、实证研究和跨学科研究等方面。申报人可参照《江苏省终身教育研究会课题立项指南（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201</w:t>
      </w:r>
      <w:r w:rsidR="0058552D">
        <w:rPr>
          <w:rFonts w:asciiTheme="minorEastAsia" w:hAnsiTheme="minorEastAsia" w:cs="FangSong" w:hint="eastAsia"/>
          <w:kern w:val="0"/>
          <w:sz w:val="24"/>
          <w:szCs w:val="24"/>
        </w:rPr>
        <w:t>8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-2020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年）》（附件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1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）进行申报，也可自拟项目名称进行申报。</w:t>
      </w:r>
    </w:p>
    <w:p w:rsidR="0034770A" w:rsidRPr="0058552D" w:rsidRDefault="0034770A" w:rsidP="0058552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2.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项目资助。研究会组织专家对申报项目进行评审，确定立项课题。重点课题每项资助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10000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元，一般课题每项资助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5000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元，立项课题不资助。</w:t>
      </w:r>
    </w:p>
    <w:p w:rsidR="0034770A" w:rsidRPr="0058552D" w:rsidRDefault="0034770A" w:rsidP="00563C9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3. </w:t>
      </w:r>
      <w:r w:rsidR="00EA176A">
        <w:rPr>
          <w:rFonts w:asciiTheme="minorEastAsia" w:hAnsiTheme="minorEastAsia" w:cs="FangSong" w:hint="eastAsia"/>
          <w:kern w:val="0"/>
          <w:sz w:val="24"/>
          <w:szCs w:val="24"/>
        </w:rPr>
        <w:t>结项说明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与结项要求。重点课题研究时间为</w:t>
      </w:r>
      <w:r w:rsidR="0058552D">
        <w:rPr>
          <w:rFonts w:asciiTheme="minorEastAsia" w:hAnsiTheme="minorEastAsia" w:cs="FangSong"/>
          <w:kern w:val="0"/>
          <w:sz w:val="24"/>
          <w:szCs w:val="24"/>
        </w:rPr>
        <w:t>2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年，一般课题和立项课题研究时间原则上不超过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1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年。结项需提交与课题申报</w:t>
      </w:r>
      <w:r w:rsidR="0058552D">
        <w:rPr>
          <w:rFonts w:asciiTheme="minorEastAsia" w:hAnsiTheme="minorEastAsia" w:cs="FangSong" w:hint="eastAsia"/>
          <w:kern w:val="0"/>
          <w:sz w:val="24"/>
          <w:szCs w:val="24"/>
        </w:rPr>
        <w:t>预期成果相一致的佐证材料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经专家鉴定后给予结项。科研项目管理详见《江苏省终身教育研究会科研项目管理办法》。</w:t>
      </w:r>
    </w:p>
    <w:p w:rsidR="0034770A" w:rsidRPr="0058552D" w:rsidRDefault="0034770A" w:rsidP="0058552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二、申报条件及时间安排</w:t>
      </w:r>
    </w:p>
    <w:p w:rsidR="0034770A" w:rsidRDefault="0034770A" w:rsidP="0058552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>1</w:t>
      </w:r>
      <w:r w:rsidR="008C69B9">
        <w:rPr>
          <w:rFonts w:asciiTheme="minorEastAsia" w:hAnsiTheme="minorEastAsia" w:cs="FangSong" w:hint="eastAsia"/>
          <w:kern w:val="0"/>
          <w:sz w:val="24"/>
          <w:szCs w:val="24"/>
        </w:rPr>
        <w:t>．项目申报人必须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负责组织、指导课题实施。鼓励申报人组织跨学科、跨学院（单位）的团队开展研究工作。</w:t>
      </w:r>
      <w:r w:rsidR="00EA176A">
        <w:rPr>
          <w:rFonts w:asciiTheme="minorEastAsia" w:hAnsiTheme="minorEastAsia" w:cs="FangSong" w:hint="eastAsia"/>
          <w:kern w:val="0"/>
          <w:sz w:val="24"/>
          <w:szCs w:val="24"/>
        </w:rPr>
        <w:t>为保证项目研究的质量，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每位申报人限报一个项目。</w:t>
      </w:r>
    </w:p>
    <w:p w:rsidR="0034770A" w:rsidRPr="0058552D" w:rsidRDefault="0034770A" w:rsidP="0058552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2.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请项目申报人将《项目申请书》用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A4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纸双面打印一式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3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份，于</w:t>
      </w:r>
      <w:r w:rsidR="0058552D">
        <w:rPr>
          <w:rFonts w:asciiTheme="minorEastAsia" w:hAnsiTheme="minorEastAsia" w:cs="FangSong" w:hint="eastAsia"/>
          <w:kern w:val="0"/>
          <w:sz w:val="24"/>
          <w:szCs w:val="24"/>
        </w:rPr>
        <w:t>12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月</w:t>
      </w:r>
      <w:r w:rsidR="008C69B9">
        <w:rPr>
          <w:rFonts w:asciiTheme="minorEastAsia" w:hAnsiTheme="minorEastAsia" w:cs="FangSong" w:hint="eastAsia"/>
          <w:kern w:val="0"/>
          <w:sz w:val="24"/>
          <w:szCs w:val="24"/>
        </w:rPr>
        <w:t>2</w:t>
      </w:r>
      <w:r w:rsidR="00532F00">
        <w:rPr>
          <w:rFonts w:asciiTheme="minorEastAsia" w:hAnsiTheme="minorEastAsia" w:cs="FangSong" w:hint="eastAsia"/>
          <w:kern w:val="0"/>
          <w:sz w:val="24"/>
          <w:szCs w:val="24"/>
        </w:rPr>
        <w:t>8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日前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lastRenderedPageBreak/>
        <w:t>送交江苏省终身教育研究会秘书处（南京市江东中路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399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号江苏开放大学定淮门校区办公楼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905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室），同时将《项目申请书》电子文稿发至邮箱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:3240802008@qq.com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，逾期恕不受理。申请书（附件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2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）可从江苏省终身教育研究会网站</w:t>
      </w:r>
      <w:r w:rsidRPr="00563C97">
        <w:rPr>
          <w:rFonts w:ascii="Times New Roman" w:hAnsiTheme="minorEastAsia" w:cs="Times New Roman"/>
          <w:kern w:val="0"/>
          <w:sz w:val="24"/>
          <w:szCs w:val="24"/>
        </w:rPr>
        <w:t>（</w:t>
      </w:r>
      <w:r w:rsidRPr="00563C97">
        <w:rPr>
          <w:rFonts w:ascii="Times New Roman" w:hAnsi="Times New Roman" w:cs="Times New Roman"/>
          <w:kern w:val="0"/>
          <w:sz w:val="24"/>
          <w:szCs w:val="24"/>
        </w:rPr>
        <w:t>http://210.28.216.157/_s61/main.psp</w:t>
      </w:r>
      <w:r w:rsidRPr="00563C97">
        <w:rPr>
          <w:rFonts w:ascii="Times New Roman" w:hAnsiTheme="minorEastAsia" w:cs="Times New Roman"/>
          <w:kern w:val="0"/>
          <w:sz w:val="24"/>
          <w:szCs w:val="24"/>
        </w:rPr>
        <w:t>）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下载。</w:t>
      </w:r>
    </w:p>
    <w:p w:rsidR="0034770A" w:rsidRDefault="0034770A" w:rsidP="00563C9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3.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江苏省终身教育研究会秘书处联系人：罗殷、邱咏梅，联系电话：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025-8</w:t>
      </w:r>
      <w:r w:rsidR="00532F00">
        <w:rPr>
          <w:rFonts w:asciiTheme="minorEastAsia" w:hAnsiTheme="minorEastAsia" w:cs="FangSong" w:hint="eastAsia"/>
          <w:kern w:val="0"/>
          <w:sz w:val="24"/>
          <w:szCs w:val="24"/>
        </w:rPr>
        <w:t>626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5582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。</w:t>
      </w:r>
    </w:p>
    <w:p w:rsidR="008C69B9" w:rsidRPr="0058552D" w:rsidRDefault="008C69B9" w:rsidP="00563C97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8C69B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附件：</w:t>
      </w:r>
    </w:p>
    <w:p w:rsidR="0034770A" w:rsidRPr="0058552D" w:rsidRDefault="0034770A" w:rsidP="008C69B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>1.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江苏省终身教育研究会课题立项指南（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201</w:t>
      </w:r>
      <w:r w:rsidR="0058552D">
        <w:rPr>
          <w:rFonts w:asciiTheme="minorEastAsia" w:hAnsiTheme="minorEastAsia" w:cs="FangSong" w:hint="eastAsia"/>
          <w:kern w:val="0"/>
          <w:sz w:val="24"/>
          <w:szCs w:val="24"/>
        </w:rPr>
        <w:t>8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-2020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年）</w:t>
      </w:r>
    </w:p>
    <w:p w:rsidR="0034770A" w:rsidRDefault="0034770A" w:rsidP="008C69B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2.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江苏省终身教育研究会项目申请书</w:t>
      </w:r>
    </w:p>
    <w:p w:rsidR="00B24ED2" w:rsidRPr="0058552D" w:rsidRDefault="00B24ED2" w:rsidP="0058552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江苏终身教育研究会</w:t>
      </w:r>
    </w:p>
    <w:p w:rsidR="0034770A" w:rsidRPr="0058552D" w:rsidRDefault="0034770A" w:rsidP="008C69B9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二〇一</w:t>
      </w:r>
      <w:r w:rsidR="0058552D">
        <w:rPr>
          <w:rFonts w:asciiTheme="minorEastAsia" w:hAnsiTheme="minorEastAsia" w:cs="FangSong" w:hint="eastAsia"/>
          <w:kern w:val="0"/>
          <w:sz w:val="24"/>
          <w:szCs w:val="24"/>
        </w:rPr>
        <w:t>八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年</w:t>
      </w:r>
      <w:r w:rsidR="0058552D">
        <w:rPr>
          <w:rFonts w:asciiTheme="minorEastAsia" w:hAnsiTheme="minorEastAsia" w:cs="FangSong" w:hint="eastAsia"/>
          <w:kern w:val="0"/>
          <w:sz w:val="24"/>
          <w:szCs w:val="24"/>
        </w:rPr>
        <w:t>十</w:t>
      </w:r>
      <w:r w:rsidR="008C69B9" w:rsidRPr="0058552D">
        <w:rPr>
          <w:rFonts w:asciiTheme="minorEastAsia" w:hAnsiTheme="minorEastAsia" w:cs="FangSong" w:hint="eastAsia"/>
          <w:kern w:val="0"/>
          <w:sz w:val="24"/>
          <w:szCs w:val="24"/>
        </w:rPr>
        <w:t>二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月</w:t>
      </w: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563C97" w:rsidRDefault="00563C97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261FDB" w:rsidRDefault="00261FDB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34770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lastRenderedPageBreak/>
        <w:t>附件</w:t>
      </w:r>
      <w:r w:rsidRPr="0058552D">
        <w:rPr>
          <w:rFonts w:asciiTheme="minorEastAsia" w:hAnsiTheme="minorEastAsia" w:cs="FangSong"/>
          <w:kern w:val="0"/>
          <w:sz w:val="24"/>
          <w:szCs w:val="24"/>
        </w:rPr>
        <w:t>1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：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AdobeHeitiStd-Regular"/>
          <w:b/>
          <w:kern w:val="0"/>
          <w:sz w:val="32"/>
          <w:szCs w:val="32"/>
        </w:rPr>
      </w:pPr>
      <w:r w:rsidRPr="0058552D">
        <w:rPr>
          <w:rFonts w:asciiTheme="minorEastAsia" w:hAnsiTheme="minorEastAsia" w:cs="AdobeHeitiStd-Regular" w:hint="eastAsia"/>
          <w:b/>
          <w:kern w:val="0"/>
          <w:sz w:val="32"/>
          <w:szCs w:val="32"/>
        </w:rPr>
        <w:t>江苏省终身教育研究会课题立项指南</w:t>
      </w:r>
    </w:p>
    <w:p w:rsidR="0034770A" w:rsidRPr="00563C97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b/>
          <w:kern w:val="0"/>
          <w:sz w:val="30"/>
          <w:szCs w:val="30"/>
        </w:rPr>
      </w:pPr>
      <w:r w:rsidRPr="00563C97">
        <w:rPr>
          <w:rFonts w:asciiTheme="minorEastAsia" w:hAnsiTheme="minorEastAsia" w:cs="FangSong" w:hint="eastAsia"/>
          <w:b/>
          <w:kern w:val="0"/>
          <w:sz w:val="30"/>
          <w:szCs w:val="30"/>
        </w:rPr>
        <w:t>（</w:t>
      </w:r>
      <w:r w:rsidRPr="00563C97">
        <w:rPr>
          <w:rFonts w:asciiTheme="minorEastAsia" w:hAnsiTheme="minorEastAsia" w:cs="FangSong"/>
          <w:b/>
          <w:kern w:val="0"/>
          <w:sz w:val="30"/>
          <w:szCs w:val="30"/>
        </w:rPr>
        <w:t>201</w:t>
      </w:r>
      <w:r w:rsidR="0058552D" w:rsidRPr="00563C97">
        <w:rPr>
          <w:rFonts w:asciiTheme="minorEastAsia" w:hAnsiTheme="minorEastAsia" w:cs="FangSong" w:hint="eastAsia"/>
          <w:b/>
          <w:kern w:val="0"/>
          <w:sz w:val="30"/>
          <w:szCs w:val="30"/>
        </w:rPr>
        <w:t>8</w:t>
      </w:r>
      <w:r w:rsidR="00563C97" w:rsidRPr="00563C97">
        <w:rPr>
          <w:rFonts w:asciiTheme="minorEastAsia" w:hAnsiTheme="minorEastAsia" w:cs="FangSong"/>
          <w:b/>
          <w:kern w:val="0"/>
          <w:sz w:val="30"/>
          <w:szCs w:val="30"/>
        </w:rPr>
        <w:t>-2020</w:t>
      </w:r>
      <w:r w:rsidRPr="00563C97">
        <w:rPr>
          <w:rFonts w:asciiTheme="minorEastAsia" w:hAnsiTheme="minorEastAsia" w:cs="FangSong" w:hint="eastAsia"/>
          <w:b/>
          <w:kern w:val="0"/>
          <w:sz w:val="30"/>
          <w:szCs w:val="30"/>
        </w:rPr>
        <w:t>年）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一、</w:t>
      </w:r>
    </w:p>
    <w:p w:rsidR="0034770A" w:rsidRPr="0058552D" w:rsidRDefault="0058552D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1.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学习型社会特征研究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2.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终身学习需求研究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3.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终身学习形态研究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4.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终身学习分类研究</w:t>
      </w:r>
    </w:p>
    <w:p w:rsidR="0034770A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5.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终身学习素质研究</w:t>
      </w:r>
    </w:p>
    <w:p w:rsidR="00563C97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二、</w:t>
      </w:r>
    </w:p>
    <w:p w:rsidR="0034770A" w:rsidRPr="0058552D" w:rsidRDefault="0058552D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6.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终身学习居民个人账户研究</w:t>
      </w:r>
    </w:p>
    <w:p w:rsidR="0034770A" w:rsidRPr="0058552D" w:rsidRDefault="0058552D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7.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终身学习学分累计方法研究</w:t>
      </w:r>
    </w:p>
    <w:p w:rsidR="0034770A" w:rsidRPr="0058552D" w:rsidRDefault="0058552D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8.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终身学习成果转化机制研究</w:t>
      </w:r>
    </w:p>
    <w:p w:rsidR="0034770A" w:rsidRPr="0058552D" w:rsidRDefault="0058552D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9.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终身学习推进激励机制研究</w:t>
      </w:r>
    </w:p>
    <w:p w:rsidR="0034770A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</w:t>
      </w:r>
      <w:r>
        <w:rPr>
          <w:rFonts w:asciiTheme="minorEastAsia" w:hAnsiTheme="minorEastAsia" w:cs="FangSong"/>
          <w:kern w:val="0"/>
          <w:sz w:val="24"/>
          <w:szCs w:val="24"/>
        </w:rPr>
        <w:t>10.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终身教育学分银行建设研究</w:t>
      </w:r>
    </w:p>
    <w:p w:rsidR="00563C97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三、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11.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终身教育思想研究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12.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终身教育范畴研究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13.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终身教育哲学研究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14.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终身教育价值研究</w:t>
      </w:r>
    </w:p>
    <w:p w:rsidR="0034770A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15.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终身教育规律研究</w:t>
      </w:r>
    </w:p>
    <w:p w:rsidR="00563C97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四、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16.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终身教育战略研究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17.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终身教育政策研究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18.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终身教育规范研究</w:t>
      </w: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19.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终身教育法制研究</w:t>
      </w:r>
    </w:p>
    <w:p w:rsidR="0034770A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20.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终身教育队伍研究</w:t>
      </w:r>
    </w:p>
    <w:p w:rsidR="00563C97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五、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21.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终身教育发展政府责任研究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22.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终身教育发展经费保障研究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23.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终身教育发展文化环境研究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24.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终身教育发展资源共享研究</w:t>
      </w:r>
    </w:p>
    <w:p w:rsidR="0034770A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25.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终身教育发展评估体系研究</w:t>
      </w:r>
    </w:p>
    <w:p w:rsidR="00563C97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六、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26.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终身教育发展多元载体研究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27.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终身教育相对优势整合研究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28.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终身教育体制机制创新研究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lastRenderedPageBreak/>
        <w:t xml:space="preserve">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29.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终身教育有效模式研究</w:t>
      </w:r>
    </w:p>
    <w:p w:rsidR="0034770A" w:rsidRDefault="0034770A" w:rsidP="00563C97">
      <w:pPr>
        <w:autoSpaceDE w:val="0"/>
        <w:autoSpaceDN w:val="0"/>
        <w:adjustRightInd w:val="0"/>
        <w:spacing w:line="240" w:lineRule="auto"/>
        <w:ind w:firstLine="480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30.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终身教育质量标准研究</w:t>
      </w:r>
    </w:p>
    <w:p w:rsidR="00563C97" w:rsidRPr="0058552D" w:rsidRDefault="00563C97" w:rsidP="00563C97">
      <w:pPr>
        <w:autoSpaceDE w:val="0"/>
        <w:autoSpaceDN w:val="0"/>
        <w:adjustRightInd w:val="0"/>
        <w:spacing w:line="240" w:lineRule="auto"/>
        <w:ind w:firstLine="480"/>
        <w:jc w:val="center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七、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31.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终身教育发展状态研究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32.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终身教育区域特色研究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33.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终身教育模式案例研究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34.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终身教育实践经验研究</w:t>
      </w:r>
    </w:p>
    <w:p w:rsidR="0034770A" w:rsidRDefault="0034770A" w:rsidP="00563C97">
      <w:pPr>
        <w:autoSpaceDE w:val="0"/>
        <w:autoSpaceDN w:val="0"/>
        <w:adjustRightInd w:val="0"/>
        <w:spacing w:line="240" w:lineRule="auto"/>
        <w:ind w:firstLine="480"/>
        <w:jc w:val="center"/>
        <w:rPr>
          <w:rFonts w:asciiTheme="minorEastAsia" w:hAnsiTheme="minorEastAsia" w:cs="FangSong"/>
          <w:kern w:val="0"/>
          <w:sz w:val="24"/>
          <w:szCs w:val="24"/>
        </w:rPr>
      </w:pPr>
      <w:r w:rsidRPr="0058552D">
        <w:rPr>
          <w:rFonts w:asciiTheme="minorEastAsia" w:hAnsiTheme="minorEastAsia" w:cs="FangSong"/>
          <w:kern w:val="0"/>
          <w:sz w:val="24"/>
          <w:szCs w:val="24"/>
        </w:rPr>
        <w:t xml:space="preserve">35. </w:t>
      </w:r>
      <w:r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终身教育国际比较研究</w:t>
      </w:r>
    </w:p>
    <w:p w:rsidR="00563C97" w:rsidRPr="0058552D" w:rsidRDefault="00563C97" w:rsidP="00563C97">
      <w:pPr>
        <w:autoSpaceDE w:val="0"/>
        <w:autoSpaceDN w:val="0"/>
        <w:adjustRightInd w:val="0"/>
        <w:spacing w:line="240" w:lineRule="auto"/>
        <w:ind w:firstLine="480"/>
        <w:jc w:val="center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八、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36.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终身教育与基础教育关系研究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37.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终身教育与高等教育关系研究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38.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终身教育与职业教育关系研究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39.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终身教育与社会教育关系研究</w:t>
      </w:r>
    </w:p>
    <w:p w:rsidR="0034770A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40.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终身教育与成人教育关系研究</w:t>
      </w:r>
    </w:p>
    <w:p w:rsidR="00563C97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九、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41.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终身教育体系内涵研究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42.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终身教育体系构建目标研究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43.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终身教育体系构建策略研究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44.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终身教育体系构建措施研究</w:t>
      </w:r>
    </w:p>
    <w:p w:rsidR="0034770A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45.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终身教育体系构建难题研究</w:t>
      </w:r>
    </w:p>
    <w:p w:rsidR="00563C97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十、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46.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全民学习共享平台研究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47.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教育公共服务体系研究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48.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公共教育资源开发研究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49.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教育机会社会公平研究</w:t>
      </w:r>
    </w:p>
    <w:p w:rsidR="0034770A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50.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终身教育社会协同研究</w:t>
      </w:r>
    </w:p>
    <w:p w:rsidR="00563C97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十一、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51.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老年人群学习现状研究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52.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老年人群学习特点研究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53.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老年人群学习支持研究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54.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老年教育发展模式研究</w:t>
      </w:r>
    </w:p>
    <w:p w:rsidR="0034770A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55.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老年教育发展与老龄社会建设研究</w:t>
      </w:r>
    </w:p>
    <w:p w:rsidR="00563C97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</w:p>
    <w:p w:rsidR="0034770A" w:rsidRPr="0058552D" w:rsidRDefault="0034770A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黑体"/>
          <w:kern w:val="0"/>
          <w:sz w:val="24"/>
          <w:szCs w:val="24"/>
        </w:rPr>
      </w:pPr>
      <w:r w:rsidRPr="0058552D">
        <w:rPr>
          <w:rFonts w:asciiTheme="minorEastAsia" w:hAnsiTheme="minorEastAsia" w:cs="黑体" w:hint="eastAsia"/>
          <w:kern w:val="0"/>
          <w:sz w:val="24"/>
          <w:szCs w:val="24"/>
        </w:rPr>
        <w:t>十二、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56.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开放大学在终身教育发展中的功能研究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57.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开放大学在终身教育体系中的优势研究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58.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开放大学为全民学习服务的模式研究</w:t>
      </w:r>
    </w:p>
    <w:p w:rsidR="0034770A" w:rsidRPr="0058552D" w:rsidRDefault="00563C97" w:rsidP="0058552D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FangSong"/>
          <w:kern w:val="0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   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59.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开放大学促进人的全面终身发展能力研究</w:t>
      </w:r>
    </w:p>
    <w:p w:rsidR="00950B7E" w:rsidRPr="0058552D" w:rsidRDefault="00563C97" w:rsidP="00261FDB">
      <w:pPr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FangSong" w:hint="eastAsia"/>
          <w:kern w:val="0"/>
          <w:sz w:val="24"/>
          <w:szCs w:val="24"/>
        </w:rPr>
        <w:t xml:space="preserve">       </w:t>
      </w:r>
      <w:r w:rsidR="0034770A" w:rsidRPr="0058552D">
        <w:rPr>
          <w:rFonts w:asciiTheme="minorEastAsia" w:hAnsiTheme="minorEastAsia" w:cs="FangSong"/>
          <w:kern w:val="0"/>
          <w:sz w:val="24"/>
          <w:szCs w:val="24"/>
        </w:rPr>
        <w:t xml:space="preserve">60. </w:t>
      </w:r>
      <w:r w:rsidR="0034770A" w:rsidRPr="0058552D">
        <w:rPr>
          <w:rFonts w:asciiTheme="minorEastAsia" w:hAnsiTheme="minorEastAsia" w:cs="FangSong" w:hint="eastAsia"/>
          <w:kern w:val="0"/>
          <w:sz w:val="24"/>
          <w:szCs w:val="24"/>
        </w:rPr>
        <w:t>开放大学建设问题与对策研究</w:t>
      </w:r>
    </w:p>
    <w:sectPr w:rsidR="00950B7E" w:rsidRPr="0058552D" w:rsidSect="0095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54" w:rsidRDefault="00DB3E54" w:rsidP="00EA176A">
      <w:pPr>
        <w:spacing w:line="240" w:lineRule="auto"/>
      </w:pPr>
      <w:r>
        <w:separator/>
      </w:r>
    </w:p>
  </w:endnote>
  <w:endnote w:type="continuationSeparator" w:id="0">
    <w:p w:rsidR="00DB3E54" w:rsidRDefault="00DB3E54" w:rsidP="00EA1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HeitiStd-Regular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54" w:rsidRDefault="00DB3E54" w:rsidP="00EA176A">
      <w:pPr>
        <w:spacing w:line="240" w:lineRule="auto"/>
      </w:pPr>
      <w:r>
        <w:separator/>
      </w:r>
    </w:p>
  </w:footnote>
  <w:footnote w:type="continuationSeparator" w:id="0">
    <w:p w:rsidR="00DB3E54" w:rsidRDefault="00DB3E54" w:rsidP="00EA17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70A"/>
    <w:rsid w:val="000F52EE"/>
    <w:rsid w:val="00125203"/>
    <w:rsid w:val="00261FDB"/>
    <w:rsid w:val="00335758"/>
    <w:rsid w:val="0034770A"/>
    <w:rsid w:val="00373EFD"/>
    <w:rsid w:val="0040529F"/>
    <w:rsid w:val="00532F00"/>
    <w:rsid w:val="00563C97"/>
    <w:rsid w:val="0058552D"/>
    <w:rsid w:val="00706E10"/>
    <w:rsid w:val="007D3E34"/>
    <w:rsid w:val="007E02E1"/>
    <w:rsid w:val="008C69B9"/>
    <w:rsid w:val="00950B7E"/>
    <w:rsid w:val="00994651"/>
    <w:rsid w:val="009D2E67"/>
    <w:rsid w:val="00A064FF"/>
    <w:rsid w:val="00A7120B"/>
    <w:rsid w:val="00B24ED2"/>
    <w:rsid w:val="00B30D7B"/>
    <w:rsid w:val="00C41394"/>
    <w:rsid w:val="00CC28DB"/>
    <w:rsid w:val="00DB25CD"/>
    <w:rsid w:val="00DB3E54"/>
    <w:rsid w:val="00EA176A"/>
    <w:rsid w:val="00F00370"/>
    <w:rsid w:val="00F37FA8"/>
    <w:rsid w:val="00FF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DB25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明显引用 Char"/>
    <w:basedOn w:val="a0"/>
    <w:link w:val="a3"/>
    <w:uiPriority w:val="30"/>
    <w:rsid w:val="00DB25CD"/>
    <w:rPr>
      <w:b/>
      <w:bCs/>
      <w:i/>
      <w:iCs/>
      <w:color w:val="4F81BD" w:themeColor="accent1"/>
    </w:rPr>
  </w:style>
  <w:style w:type="character" w:styleId="a4">
    <w:name w:val="Subtle Reference"/>
    <w:basedOn w:val="a0"/>
    <w:uiPriority w:val="31"/>
    <w:qFormat/>
    <w:rsid w:val="00DB25CD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DB25CD"/>
    <w:rPr>
      <w:b/>
      <w:bCs/>
      <w:smallCaps/>
      <w:color w:val="C0504D" w:themeColor="accent2"/>
      <w:spacing w:val="5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EA1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176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A176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A17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E73F89-FF28-470C-B2AE-063C2967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邱咏梅</dc:creator>
  <cp:lastModifiedBy>邱咏梅</cp:lastModifiedBy>
  <cp:revision>14</cp:revision>
  <cp:lastPrinted>2018-12-05T06:58:00Z</cp:lastPrinted>
  <dcterms:created xsi:type="dcterms:W3CDTF">2018-11-20T01:16:00Z</dcterms:created>
  <dcterms:modified xsi:type="dcterms:W3CDTF">2018-12-13T01:10:00Z</dcterms:modified>
</cp:coreProperties>
</file>