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801" w:rsidRPr="00D74801" w:rsidRDefault="00D74801" w:rsidP="00D74801">
      <w:pPr>
        <w:widowControl/>
        <w:shd w:val="clear" w:color="auto" w:fill="FFFFFF"/>
        <w:spacing w:line="560" w:lineRule="exact"/>
        <w:jc w:val="left"/>
        <w:outlineLvl w:val="0"/>
        <w:rPr>
          <w:rFonts w:ascii="方正仿宋_GBK" w:eastAsia="方正仿宋_GBK" w:hAnsi="微软雅黑" w:cs="宋体" w:hint="eastAsia"/>
          <w:bCs/>
          <w:kern w:val="36"/>
          <w:sz w:val="28"/>
          <w:szCs w:val="28"/>
        </w:rPr>
      </w:pPr>
      <w:r w:rsidRPr="00D74801">
        <w:rPr>
          <w:rFonts w:ascii="方正仿宋_GBK" w:eastAsia="方正仿宋_GBK" w:hAnsi="微软雅黑" w:cs="宋体" w:hint="eastAsia"/>
          <w:bCs/>
          <w:kern w:val="36"/>
          <w:sz w:val="28"/>
          <w:szCs w:val="28"/>
        </w:rPr>
        <w:t>附件4：</w:t>
      </w:r>
      <w:bookmarkStart w:id="0" w:name="_GoBack"/>
      <w:bookmarkEnd w:id="0"/>
    </w:p>
    <w:p w:rsidR="00F12661" w:rsidRPr="001D6081" w:rsidRDefault="00F12661" w:rsidP="00C44E7A">
      <w:pPr>
        <w:widowControl/>
        <w:shd w:val="clear" w:color="auto" w:fill="FFFFFF"/>
        <w:spacing w:line="560" w:lineRule="exact"/>
        <w:jc w:val="center"/>
        <w:outlineLvl w:val="0"/>
        <w:rPr>
          <w:rFonts w:ascii="方正仿宋_GBK" w:eastAsia="方正仿宋_GBK" w:hAnsi="微软雅黑" w:cs="宋体"/>
          <w:bCs/>
          <w:kern w:val="36"/>
          <w:sz w:val="32"/>
          <w:szCs w:val="32"/>
        </w:rPr>
      </w:pPr>
      <w:r w:rsidRPr="001D6081">
        <w:rPr>
          <w:rFonts w:ascii="方正仿宋_GBK" w:eastAsia="方正仿宋_GBK" w:hAnsi="微软雅黑" w:cs="宋体" w:hint="eastAsia"/>
          <w:bCs/>
          <w:kern w:val="36"/>
          <w:sz w:val="32"/>
          <w:szCs w:val="32"/>
        </w:rPr>
        <w:t>教育部关于一流本科课程建设的实施意见</w:t>
      </w:r>
    </w:p>
    <w:p w:rsidR="00F12661" w:rsidRPr="00C44E7A" w:rsidRDefault="00F12661" w:rsidP="00C44E7A">
      <w:pPr>
        <w:widowControl/>
        <w:shd w:val="clear" w:color="auto" w:fill="FFFFFF"/>
        <w:spacing w:line="560" w:lineRule="exact"/>
        <w:ind w:right="240"/>
        <w:jc w:val="center"/>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教高〔2019〕8号</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各省、自治区、直辖市教育厅（教委）,新疆生产建设兵团教育局,有关部门（单位）教育司（局），部属各高等学校、部省合建各高等学校：</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课程是人才培养的核心要素，课程质量直接决定人才培养质量。为贯彻落实习近平总书记关于教育的重要论述和全国教育大会精神，落实新时代全国高等学校本科教育工作会议要求，必须深化教育教学改革，必须把教学改革成果落实到课程建设上。现就一流本科课程建设提出如下实施意见。</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w:t>
      </w:r>
      <w:r w:rsidRPr="00C44E7A">
        <w:rPr>
          <w:rFonts w:ascii="方正仿宋_GBK" w:eastAsia="方正仿宋_GBK" w:hAnsi="微软雅黑" w:cs="宋体" w:hint="eastAsia"/>
          <w:b/>
          <w:bCs/>
          <w:kern w:val="0"/>
          <w:sz w:val="32"/>
          <w:szCs w:val="32"/>
          <w:bdr w:val="none" w:sz="0" w:space="0" w:color="auto" w:frame="1"/>
        </w:rPr>
        <w:t>一、总体要求</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（一）指导思想</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以习近平新时代中国特色社会主义思想为指导，贯彻落实党的十九大精神，落实立德树人根本任务，把立德树人成效作为检验高校一切工作的根本标准，深入挖掘各类课程和教学方式中蕴含的思想政治教育元素，建设适应新时代要求的一流本科课程，让课程优起来、教师强起来、学生忙起来、管理严起来、效果实起来，形成中国特色、世界水平的一流本科课程体系，构建更高水平人才培养体系。</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（二）总体目标</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全面开展一流本科课程建设，树立课程建设新理念，推进课程改革创新，实施科学课程评价，严格课程管理，立起教授上课、消灭“水课”、取消“清考”等硬规矩，夯实基层教学</w:t>
      </w:r>
      <w:r w:rsidRPr="00C44E7A">
        <w:rPr>
          <w:rFonts w:ascii="方正仿宋_GBK" w:eastAsia="方正仿宋_GBK" w:hAnsi="微软雅黑" w:cs="宋体" w:hint="eastAsia"/>
          <w:kern w:val="0"/>
          <w:sz w:val="32"/>
          <w:szCs w:val="32"/>
        </w:rPr>
        <w:lastRenderedPageBreak/>
        <w:t>组织，提高教师教学能力，完善以质量为导向的课程建设激励机制，形成多类型、多样化的教学内容与课程体系。经过三年左右时间，建成万门左右国家级和万门左右省级一流本科课程（简称一流本科课程“双万计划”）。</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（三）基本原则</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——坚持分类建设。依据高校办学定位和人才培养目标定位，建设适应创新型、复合型、应用型人才培养需要的一流本科课程，实现不同类型高校一流本科课程建设全覆盖。</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坚持扶强扶特。着力引导“双一流”建设高校、部省合建高校发挥引领示范作用，重点打造一批高水平课程，为卓越拔尖人才培养提供有力支撑。重点支持已有建设基础、取得明显教学成效的课程，让优的更优、强的更强。重视特色课程建设，实现一流本科课程多样化。</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提升高阶性。课程目标坚持知识、能力、素质有机融合，培养学生解决复杂问题的综合能力和高级思维。课程内容强调广度和深度，突破习惯性认知模式，培养学生深度分析、大胆质疑、勇于创新的精神和能力。</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——突出创新性。教学内容体现前沿性与时代性，及时将学术研究、科技发展前沿成果引入课程。教学方法体现先进性与互动性，大力推进现代信息技术与教学深度融合，积极引导学生进行探究式与个性化学习。</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——增加挑战度。课程设计增加研究性、创新性、综合性内容，加大学生学习投入，科学“增负”，让学生体验“跳一</w:t>
      </w:r>
      <w:r w:rsidRPr="00C44E7A">
        <w:rPr>
          <w:rFonts w:ascii="方正仿宋_GBK" w:eastAsia="方正仿宋_GBK" w:hAnsi="微软雅黑" w:cs="宋体" w:hint="eastAsia"/>
          <w:kern w:val="0"/>
          <w:sz w:val="32"/>
          <w:szCs w:val="32"/>
        </w:rPr>
        <w:lastRenderedPageBreak/>
        <w:t>跳才能够得着”的学习挑战。严格考核考试评价，增强学生经过刻苦学习收获能力和素质提高的成就感。</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w:t>
      </w:r>
      <w:r w:rsidRPr="00C44E7A">
        <w:rPr>
          <w:rFonts w:ascii="方正仿宋_GBK" w:eastAsia="方正仿宋_GBK" w:hAnsi="微软雅黑" w:cs="宋体" w:hint="eastAsia"/>
          <w:b/>
          <w:bCs/>
          <w:kern w:val="0"/>
          <w:sz w:val="32"/>
          <w:szCs w:val="32"/>
          <w:bdr w:val="none" w:sz="0" w:space="0" w:color="auto" w:frame="1"/>
        </w:rPr>
        <w:t>二、建设内容</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一）转变观念，理念新起来。以新理念引领一流本科课程建设。牢固树立“三个不合格”理念，竖起“高压线”，不抓本科教育的高校不是合格的高校，不重视本科教育的书记校长不是合格的书记校长，不参与本科教学的教授不是合格的教授。推动课程思政的理念形成广泛共识，构建全员全程全方位育人大格局。确立学生中心、产出导向、持续改进的理念，提升课程的高阶性，突出课程的创新性，增加课程的挑战度。</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二）目标导向，课程优起来。以目标为导向加强课程建设。立足经济社会发展需求和人才培养目标，优化重构教学内容与课程体系，破除课程千校一面，杜绝必修课因人设课，淘汰“水课”，立起课程建设新标杆。“双一流”建设高校、部省合建高校要明确要求两院院士、国家“千人计划”“万人计划”专家、“长江学者奖励计划”入选者、国家杰出青年科学基金获得者等高层次人才建设名课、讲授基础课和专业基础课，建设一批中国特色、世界水平的一流本科课程。聚焦新工科、新医科、新农科、新文科建设，体现多学科思维融合、产业技术与学科理论融合、跨专业能力融合、多学科项目实践融合，建设一批培养创新型、复合型人才的一流本科课程。服务区域经济社会发展主战场，深化产教融合协同育人，建设一批培养应用型人才的一流本科课程。</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lastRenderedPageBreak/>
        <w:t xml:space="preserve">　　（三）提升能力，教师强起来。以培养培训为关键点提升教师教学能力。高校要实现基层教学组织全覆盖，教师全员纳入基层教学组织，强化教学研究，定期集体备课、研讨课程设计，加强教学梯队建设，完善助教制度，发挥好“传帮带”作用。实现青年教师上岗培训全覆盖，新入职教师必须经过助课、试讲、考核等环节，获得教师教学发展中心等学校培训部门颁发的证书，方可主讲课程。实现教师职业培训、终身学习全覆盖，推动教师培训常态化，将培训学分作为教师资格定期注册、教师考核的必备条件。</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四）改革方法，课堂活起来。以提升教学效果为目的创新教学方法。强化课堂设计，解决好怎么讲好课的问题，杜绝单纯知识传递、忽视能力素质培养的现象。强化现代信息技术与教育教学深度融合，解决好教与学模式创新的问题，杜绝信息技术应用的简单化、形式化。强化师生互动、生生互动，解决好创新性、批判性思维培养的问题，杜绝教师满堂灌、学生被动听的现象。</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五）科学评价，学生忙起来。以激发学习动力和专业志趣为着力点完善过程评价制度。加强对学生课堂内外、线上线下学习的评价，强化阅读量和阅读能力考查，提升课程学习的广度。加强研究型、项目式学习，丰富探究式、论文式、报告答辩式等作业评价方式，提升课程学习的深度。加强非标准化、综合性等评价，提升课程学习的挑战性。“双一流”建设高校、部省合建高校要扩大学生课程学习选择面，强化课程难度与挑战度。</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lastRenderedPageBreak/>
        <w:t xml:space="preserve">　　（六）强化管理，制度严起来。以提高制度执行力为重点严格课程管理。高等学校要严格执行教授为本科生授课制度，连续三年不承担本科课程的教授、副教授，转出教师系列。严格执行国家对高校的生师比要求，完备师资队伍。严格执行课程准入制度，发挥校内教学指导委员会课程把关作用，拒绝“水课”进课堂。严格考试纪律，严把考试和毕业出口关，坚决取消“清考”。严格课程质量评估，在专业认证、教学评估中增加课程评价权重。</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七）政策激励，教学热起来。以教学贡献为核心内容制定激励政策。加大课程建设的支持力度，加大优秀课程和教师的奖励力度，加大教学业绩在专业技术职务评聘中的权重，营造重视本科课程改革与建设的良好氛围。</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w:t>
      </w:r>
      <w:r w:rsidRPr="00C44E7A">
        <w:rPr>
          <w:rFonts w:ascii="方正仿宋_GBK" w:eastAsia="方正仿宋_GBK" w:hAnsi="微软雅黑" w:cs="宋体" w:hint="eastAsia"/>
          <w:b/>
          <w:bCs/>
          <w:kern w:val="0"/>
          <w:sz w:val="32"/>
          <w:szCs w:val="32"/>
          <w:bdr w:val="none" w:sz="0" w:space="0" w:color="auto" w:frame="1"/>
        </w:rPr>
        <w:t>三、实施一流本科课程双万计划</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一）认定万门左右国家级一流本科课程。注重创新型、复合型、应用型人才培养课程建设的创新性、示范引领性和推广性，在高校培育建设基础上，从2019年到2021年，完成4000门左右国家级线上一流课程（国家精品在线开放课程）、4000门左右国家级线下一流课程、6000门左右国家级线上线下混合式一流课程、1500门左右国家虚拟仿真实验教学一流课程、1000门左右国家级社会实践一流课程认定工作，具体推荐认定办法见附件。</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（二）认定万门左右省级一流本科课程。各省级教育行政部门根据区域高等教育改革发展需求，参照本实施意见要求，具体组织实施本地区一流本科课程建设计划。推荐国家</w:t>
      </w:r>
      <w:r w:rsidRPr="00C44E7A">
        <w:rPr>
          <w:rFonts w:ascii="方正仿宋_GBK" w:eastAsia="方正仿宋_GBK" w:hAnsi="微软雅黑" w:cs="宋体" w:hint="eastAsia"/>
          <w:kern w:val="0"/>
          <w:sz w:val="32"/>
          <w:szCs w:val="32"/>
        </w:rPr>
        <w:lastRenderedPageBreak/>
        <w:t>级一流课程，注重解决本地区高校长期存在的教育教学问题，因地制宜、因校制宜、因课制宜建设省级一流本科课程，并报我部备案。</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w:t>
      </w:r>
      <w:r w:rsidRPr="00C44E7A">
        <w:rPr>
          <w:rFonts w:ascii="方正仿宋_GBK" w:eastAsia="方正仿宋_GBK" w:hAnsi="微软雅黑" w:cs="宋体" w:hint="eastAsia"/>
          <w:b/>
          <w:bCs/>
          <w:kern w:val="0"/>
          <w:sz w:val="32"/>
          <w:szCs w:val="32"/>
          <w:bdr w:val="none" w:sz="0" w:space="0" w:color="auto" w:frame="1"/>
        </w:rPr>
        <w:t>四、组织管理</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（一）教育部负责统筹指导一流本科课程建设工作，组织有关专家和机构研究制定一流本科课程建设、应用与管理的相关标准规范。公布国家级一流本科课程推荐认定结果。</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二）省级教育行政部门研究制定省级一流本科课程建设实施方案，制定推动本地区一流本科课程建设与教学改革配套政策，建设省级一流本科课程。加强省级课程服务平台的管理，积极推动一流本科课程开放共享。</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三）高校要优化课程体系，做好一流本科课程建设规划。组建优秀教师团队建设一流本科课程。建立校内课程建设激励机制，健全支持政策，完善课程管理和评价机制。“双一流”建设高校、部省合建高校要率先建设一流本科课程。</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（四）高等学校教学指导委员会要加强课程建设理论研究和分类指导，组织制订相关专业一流本科课程建设指南，引导高校汇聚优秀教师联合建设课程群，共享优质课程资源。</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（五）课程服务平台承担一流本科课程服务和数据安全保障的主体责任，配合开展课程审查和线上教学活动。要不断更新并提升技术和数据服务水平，监控和打击不良学习行为。加强课程平台间的交流与合作。</w:t>
      </w:r>
      <w:r w:rsidRPr="00C44E7A">
        <w:rPr>
          <w:rFonts w:ascii="方正仿宋_GBK" w:eastAsia="方正仿宋_GBK" w:hAnsi="微软雅黑" w:cs="宋体" w:hint="eastAsia"/>
          <w:kern w:val="0"/>
          <w:sz w:val="32"/>
          <w:szCs w:val="32"/>
        </w:rPr>
        <w:t> </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（六）中央部门所属高校统筹利用“中央高校教育教学改革专项”等各类资源支持一流本科课程建设。地方高校统筹地</w:t>
      </w:r>
      <w:r w:rsidRPr="00C44E7A">
        <w:rPr>
          <w:rFonts w:ascii="方正仿宋_GBK" w:eastAsia="方正仿宋_GBK" w:hAnsi="微软雅黑" w:cs="宋体" w:hint="eastAsia"/>
          <w:kern w:val="0"/>
          <w:sz w:val="32"/>
          <w:szCs w:val="32"/>
        </w:rPr>
        <w:lastRenderedPageBreak/>
        <w:t>方财政高等教育资金和中央支持地方高校改革发展资金支持一流本科课程建设。</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附件：“双万计划”国家级一流本科课程推荐认定办法</w:t>
      </w:r>
    </w:p>
    <w:p w:rsidR="00F12661" w:rsidRPr="00C44E7A" w:rsidRDefault="00F12661" w:rsidP="00C44E7A">
      <w:pPr>
        <w:widowControl/>
        <w:shd w:val="clear" w:color="auto" w:fill="FFFFFF"/>
        <w:spacing w:line="560" w:lineRule="exact"/>
        <w:jc w:val="righ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教育部</w:t>
      </w:r>
    </w:p>
    <w:p w:rsidR="00F12661" w:rsidRDefault="00F12661" w:rsidP="00C44E7A">
      <w:pPr>
        <w:widowControl/>
        <w:shd w:val="clear" w:color="auto" w:fill="FFFFFF"/>
        <w:spacing w:line="560" w:lineRule="exact"/>
        <w:jc w:val="righ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2019年10月24日</w:t>
      </w:r>
    </w:p>
    <w:p w:rsidR="00C44E7A" w:rsidRPr="00C44E7A" w:rsidRDefault="00C44E7A" w:rsidP="00C44E7A">
      <w:pPr>
        <w:widowControl/>
        <w:shd w:val="clear" w:color="auto" w:fill="FFFFFF"/>
        <w:spacing w:line="560" w:lineRule="exact"/>
        <w:jc w:val="right"/>
        <w:rPr>
          <w:rFonts w:ascii="方正仿宋_GBK" w:eastAsia="方正仿宋_GBK" w:hAnsi="微软雅黑" w:cs="宋体"/>
          <w:kern w:val="0"/>
          <w:sz w:val="32"/>
          <w:szCs w:val="32"/>
        </w:rPr>
      </w:pP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b/>
          <w:bCs/>
          <w:kern w:val="0"/>
          <w:sz w:val="32"/>
          <w:szCs w:val="32"/>
          <w:bdr w:val="none" w:sz="0" w:space="0" w:color="auto" w:frame="1"/>
        </w:rPr>
        <w:t>附件</w:t>
      </w:r>
    </w:p>
    <w:p w:rsidR="00F12661" w:rsidRPr="00C44E7A" w:rsidRDefault="00F12661" w:rsidP="00C44E7A">
      <w:pPr>
        <w:widowControl/>
        <w:shd w:val="clear" w:color="auto" w:fill="FFFFFF"/>
        <w:spacing w:line="560" w:lineRule="exact"/>
        <w:jc w:val="center"/>
        <w:rPr>
          <w:rFonts w:ascii="方正仿宋_GBK" w:eastAsia="方正仿宋_GBK" w:hAnsi="微软雅黑" w:cs="宋体"/>
          <w:kern w:val="0"/>
          <w:sz w:val="32"/>
          <w:szCs w:val="32"/>
        </w:rPr>
      </w:pPr>
      <w:r w:rsidRPr="00C44E7A">
        <w:rPr>
          <w:rFonts w:ascii="方正仿宋_GBK" w:eastAsia="方正仿宋_GBK" w:hAnsi="微软雅黑" w:cs="宋体" w:hint="eastAsia"/>
          <w:b/>
          <w:bCs/>
          <w:kern w:val="0"/>
          <w:sz w:val="32"/>
          <w:szCs w:val="32"/>
          <w:bdr w:val="none" w:sz="0" w:space="0" w:color="auto" w:frame="1"/>
        </w:rPr>
        <w:t>“双万计划”国家级一流本科课程</w:t>
      </w:r>
    </w:p>
    <w:p w:rsidR="00F12661" w:rsidRPr="00C44E7A" w:rsidRDefault="00F12661" w:rsidP="00C44E7A">
      <w:pPr>
        <w:widowControl/>
        <w:shd w:val="clear" w:color="auto" w:fill="FFFFFF"/>
        <w:spacing w:line="560" w:lineRule="exact"/>
        <w:jc w:val="center"/>
        <w:rPr>
          <w:rFonts w:ascii="方正仿宋_GBK" w:eastAsia="方正仿宋_GBK" w:hAnsi="微软雅黑" w:cs="宋体"/>
          <w:kern w:val="0"/>
          <w:sz w:val="32"/>
          <w:szCs w:val="32"/>
        </w:rPr>
      </w:pPr>
      <w:r w:rsidRPr="00C44E7A">
        <w:rPr>
          <w:rFonts w:ascii="方正仿宋_GBK" w:eastAsia="方正仿宋_GBK" w:hAnsi="微软雅黑" w:cs="宋体" w:hint="eastAsia"/>
          <w:b/>
          <w:bCs/>
          <w:kern w:val="0"/>
          <w:sz w:val="32"/>
          <w:szCs w:val="32"/>
          <w:bdr w:val="none" w:sz="0" w:space="0" w:color="auto" w:frame="1"/>
        </w:rPr>
        <w:t>推荐认定办法</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w:t>
      </w:r>
      <w:r w:rsidRPr="00C44E7A">
        <w:rPr>
          <w:rFonts w:ascii="方正仿宋_GBK" w:eastAsia="方正仿宋_GBK" w:hAnsi="微软雅黑" w:cs="宋体" w:hint="eastAsia"/>
          <w:b/>
          <w:bCs/>
          <w:kern w:val="0"/>
          <w:sz w:val="32"/>
          <w:szCs w:val="32"/>
          <w:bdr w:val="none" w:sz="0" w:space="0" w:color="auto" w:frame="1"/>
        </w:rPr>
        <w:t>一、推荐范围</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普通本科高校纳入人才培养方案且设置学分的本科课程均可推荐，包括思想政治理论课、公共基础课、专业基础课、专业课以及通识课等独立设置的本科理论课程、实验课程和社会实践课程等。</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w:t>
      </w:r>
      <w:r w:rsidRPr="00C44E7A">
        <w:rPr>
          <w:rFonts w:ascii="方正仿宋_GBK" w:eastAsia="方正仿宋_GBK" w:hAnsi="微软雅黑" w:cs="宋体" w:hint="eastAsia"/>
          <w:b/>
          <w:bCs/>
          <w:kern w:val="0"/>
          <w:sz w:val="32"/>
          <w:szCs w:val="32"/>
          <w:bdr w:val="none" w:sz="0" w:space="0" w:color="auto" w:frame="1"/>
        </w:rPr>
        <w:t>二、推荐类型与计划</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一）线上一流课程。即国家精品在线开放课程，突出优质、开放、共享，打造中国慕课品牌。完成4000门左右国家精品在线开放课程认定，构建内容更加丰富、结构更加合理、类别更加全面的国家级精品慕课体系。</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二）线下一流课程。主要指以面授为主的课程，以提升学生综合能力为重点，重塑课程内容，创新教学方法，打破课堂沉默状态，焕发课堂生机活力，较好发挥课堂教学主阵地、主渠道、主战场作用。认定4000门左右国家级线下一流课程。</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lastRenderedPageBreak/>
        <w:t xml:space="preserve">　　（三）线上线下混合式一流课程。主要指基于慕课、专属在线课程（SPOC）或其他在线课程，运用适当的数字化教学工具，结合本校实际对校内课程进行改造，安排20%—50%的教学时间实施学生线上自主学习，与线下面授有机结合开展翻转课堂、混合式教学，打造在线课程与本校课堂教学相融合的混合式“金课”。大力倡导基于国家精品在线开放课程应用的线上线下混合式优质课程申报。认定6000门左右国家级线上线下混合式一流课程。</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四）虚拟仿真实验教学一流课程。着力解决真实实验条件不具备或实际运行困难，涉及高危或极端环境，高成本、高消耗、不可逆操作、大型综合训练等问题。完成1500门左右国家虚拟仿真实验教学一流课程认定，形成专业布局合理、教学效果优良、开放共享有效的高等教育信息化实验教学体系。</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五）社会实践一流课程。以培养学生综合能力为目标，通过“青年红色筑梦之旅”、“互联网＋”大学生创新创业大赛、创新创业和思想政治理论课社会实践等活动，推动思想政治教育、专业教育与社会服务紧密结合，培养学生认识社会、研究社会、理解社会、服务社会的意识和能力，建设社会实践一流课程。课程应为纳入人才培养方案的非实习、实训课程，配备理论指导教师，具有稳定的实践基地，学生70%以上学时深入基层，保证课程规范化和可持续发展。认定1000门左右国家级社会实践一流课程。</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w:t>
      </w:r>
      <w:r w:rsidRPr="00C44E7A">
        <w:rPr>
          <w:rFonts w:ascii="方正仿宋_GBK" w:eastAsia="方正仿宋_GBK" w:hAnsi="微软雅黑" w:cs="宋体" w:hint="eastAsia"/>
          <w:b/>
          <w:bCs/>
          <w:kern w:val="0"/>
          <w:sz w:val="32"/>
          <w:szCs w:val="32"/>
          <w:bdr w:val="none" w:sz="0" w:space="0" w:color="auto" w:frame="1"/>
        </w:rPr>
        <w:t>三、推荐条件</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lastRenderedPageBreak/>
        <w:t xml:space="preserve">　　推荐课程须至少经过两个学期或两个教学周期的建设和完善，取得实质性改革成效，在同类课程中具有鲜明特色、良好的教学效果，并承诺入选后将持续改进。符合相关类型课程基本形态和特殊要求的同时，在以下多个方面具备实质性创新，有较大的借鉴和推广价值。</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（一）教学理念先进。坚持立德树人，体现以学生发展为中心，致力于开启学生内在潜力和学习动力，注重学生德智体美劳全面发展。</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二）课程教学团队教学成果显著。课程团队教学改革意识强烈、理念先进，人员结构及任务分工合理。主讲教师具备良好的师德师风，具有丰富的教学经验、较高学术造诣，积极投身教学改革，教学能力强，能够运用新技术提高教学效率、提升教学质量。</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（三）课程目标有效支撑培养目标达成。课程目标符合学校办学定位和人才培养目标，注重知识、能力、素质培养。</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（四）课程教学设计科学合理。围绕目标达成、教学内容、组织实施和多元评价需求进行整体规划，教学策略、教学方法、教学过程、教学评价等设计合理。</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五）课程内容与时俱进。课程内容结构符合学生成长规律，依据学科前沿动态与社会发展需求动态更新知识体系，契合课程目标，教材选用符合教育部和学校教材选用规定，教学资源丰富多样，体现思想性、科学性与时代性。</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（六）教学组织与实施突出学生中心地位。根据学生认知规律和接受特点，创新教与学模式，因材施教，促进师生</w:t>
      </w:r>
      <w:r w:rsidRPr="00C44E7A">
        <w:rPr>
          <w:rFonts w:ascii="方正仿宋_GBK" w:eastAsia="方正仿宋_GBK" w:hAnsi="微软雅黑" w:cs="宋体" w:hint="eastAsia"/>
          <w:kern w:val="0"/>
          <w:sz w:val="32"/>
          <w:szCs w:val="32"/>
        </w:rPr>
        <w:lastRenderedPageBreak/>
        <w:t>之间、学生之间的交流互动、资源共享、知识生成，教学反馈及时，教学效果显著。</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（七）课程管理与评价科学且可测量。教师备课要求明确，学生学习管理严格。针对教学目标、教学内容、教学组织等采用多元化考核评价，过程可回溯，诊断改进积极有效。教学过程材料完整，可借鉴可监督。</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w:t>
      </w:r>
      <w:r w:rsidRPr="00C44E7A">
        <w:rPr>
          <w:rFonts w:ascii="方正仿宋_GBK" w:eastAsia="方正仿宋_GBK" w:hAnsi="微软雅黑" w:cs="宋体" w:hint="eastAsia"/>
          <w:b/>
          <w:bCs/>
          <w:kern w:val="0"/>
          <w:sz w:val="32"/>
          <w:szCs w:val="32"/>
          <w:bdr w:val="none" w:sz="0" w:space="0" w:color="auto" w:frame="1"/>
        </w:rPr>
        <w:t>四、推荐方式</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除线上一流课程、虚拟仿真实验教学一流课程继续按有关文件实施外，线下一流课程、线上线下混合式一流课程和社会实践一流课程采用以下推荐方式。</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（一）推荐总额</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教育部按照国家级线下一流课程、线上线下混合式一流课程和社会实践一流课程三年计划总数确定推荐总额，分别下达至中央部门所属高校和各省级教育行政部门。</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（二）分赛道推荐</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按照中央部门所属高校、地方高校的办学定位和培养目标特点分赛道推荐，名额分列。部省合建高校推荐课程纳入中央部门所属高校赛道。</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（三）推荐方式</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中央部门所属高校、各省级教育行政部门根据教育部下达的三年推荐额度，在规定的年度上限数额内推荐。教育部直属高校直接报教育部，其他中央部门所属高校、部省合建高校经主管部门同意后报教育部；地方高校由省级教育行政部门统一报教育部。</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lastRenderedPageBreak/>
        <w:t xml:space="preserve">　　（四）推荐材料要求</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课程团队须提交申报书、时长10分钟内的说课视频（包括教学理念、课程设计、课程实施、改革成效等）和其他佐证材料。</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w:t>
      </w:r>
      <w:r w:rsidRPr="00C44E7A">
        <w:rPr>
          <w:rFonts w:ascii="方正仿宋_GBK" w:eastAsia="方正仿宋_GBK" w:hAnsi="微软雅黑" w:cs="宋体" w:hint="eastAsia"/>
          <w:b/>
          <w:bCs/>
          <w:kern w:val="0"/>
          <w:sz w:val="32"/>
          <w:szCs w:val="32"/>
          <w:bdr w:val="none" w:sz="0" w:space="0" w:color="auto" w:frame="1"/>
        </w:rPr>
        <w:t>五、认定方式</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教育部分年度组织专家对推荐课程进行认定，经公示后向社会发布。对课程团队成员存在师德师风问题、学术不端问题、五年内出现过重大教学事故，课程内容存在思想性科学性问题的，实行一票否决。</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w:t>
      </w:r>
      <w:r w:rsidRPr="00C44E7A">
        <w:rPr>
          <w:rFonts w:ascii="方正仿宋_GBK" w:eastAsia="方正仿宋_GBK" w:hAnsi="微软雅黑" w:cs="宋体" w:hint="eastAsia"/>
          <w:b/>
          <w:bCs/>
          <w:kern w:val="0"/>
          <w:sz w:val="32"/>
          <w:szCs w:val="32"/>
          <w:bdr w:val="none" w:sz="0" w:space="0" w:color="auto" w:frame="1"/>
        </w:rPr>
        <w:t>六、认定课程管理</w:t>
      </w:r>
    </w:p>
    <w:p w:rsidR="00F12661" w:rsidRPr="00C44E7A" w:rsidRDefault="00F12661" w:rsidP="00C44E7A">
      <w:pPr>
        <w:widowControl/>
        <w:shd w:val="clear" w:color="auto" w:fill="FFFFFF"/>
        <w:spacing w:line="560" w:lineRule="exact"/>
        <w:jc w:val="left"/>
        <w:rPr>
          <w:rFonts w:ascii="方正仿宋_GBK" w:eastAsia="方正仿宋_GBK" w:hAnsi="微软雅黑" w:cs="宋体"/>
          <w:kern w:val="0"/>
          <w:sz w:val="32"/>
          <w:szCs w:val="32"/>
        </w:rPr>
      </w:pPr>
      <w:r w:rsidRPr="00C44E7A">
        <w:rPr>
          <w:rFonts w:ascii="方正仿宋_GBK" w:eastAsia="方正仿宋_GBK" w:hAnsi="微软雅黑" w:cs="宋体" w:hint="eastAsia"/>
          <w:kern w:val="0"/>
          <w:sz w:val="32"/>
          <w:szCs w:val="32"/>
        </w:rPr>
        <w:t xml:space="preserve">　　教育部对认定的国家级一流课程实施动态管理，对课程实际应用、教学效果和共享等进行跟踪监测。认定为国家级一流课程的课程须继续建设五年，其建设和改革成果在指定的网站上集中展示和分享，且定期更新资源和数据。对于未持续更新完善、出现严重质量问题、课程团队成员出现师德师风等问题的课程，将予以撤销。</w:t>
      </w:r>
    </w:p>
    <w:p w:rsidR="00C37819" w:rsidRPr="00C44E7A" w:rsidRDefault="00C37819" w:rsidP="00C44E7A">
      <w:pPr>
        <w:spacing w:line="560" w:lineRule="exact"/>
        <w:rPr>
          <w:rFonts w:ascii="方正仿宋_GBK" w:eastAsia="方正仿宋_GBK"/>
          <w:sz w:val="32"/>
          <w:szCs w:val="32"/>
        </w:rPr>
      </w:pPr>
    </w:p>
    <w:sectPr w:rsidR="00C37819" w:rsidRPr="00C44E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5D0" w:rsidRDefault="000375D0" w:rsidP="00F12661">
      <w:r>
        <w:separator/>
      </w:r>
    </w:p>
  </w:endnote>
  <w:endnote w:type="continuationSeparator" w:id="0">
    <w:p w:rsidR="000375D0" w:rsidRDefault="000375D0" w:rsidP="00F12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5D0" w:rsidRDefault="000375D0" w:rsidP="00F12661">
      <w:r>
        <w:separator/>
      </w:r>
    </w:p>
  </w:footnote>
  <w:footnote w:type="continuationSeparator" w:id="0">
    <w:p w:rsidR="000375D0" w:rsidRDefault="000375D0" w:rsidP="00F126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7DD"/>
    <w:rsid w:val="000375D0"/>
    <w:rsid w:val="001D6081"/>
    <w:rsid w:val="008A315D"/>
    <w:rsid w:val="00A407DD"/>
    <w:rsid w:val="00BF39A6"/>
    <w:rsid w:val="00C37819"/>
    <w:rsid w:val="00C44E7A"/>
    <w:rsid w:val="00D74801"/>
    <w:rsid w:val="00F10A24"/>
    <w:rsid w:val="00F12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2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2661"/>
    <w:rPr>
      <w:sz w:val="18"/>
      <w:szCs w:val="18"/>
    </w:rPr>
  </w:style>
  <w:style w:type="paragraph" w:styleId="a4">
    <w:name w:val="footer"/>
    <w:basedOn w:val="a"/>
    <w:link w:val="Char0"/>
    <w:uiPriority w:val="99"/>
    <w:unhideWhenUsed/>
    <w:rsid w:val="00F12661"/>
    <w:pPr>
      <w:tabs>
        <w:tab w:val="center" w:pos="4153"/>
        <w:tab w:val="right" w:pos="8306"/>
      </w:tabs>
      <w:snapToGrid w:val="0"/>
      <w:jc w:val="left"/>
    </w:pPr>
    <w:rPr>
      <w:sz w:val="18"/>
      <w:szCs w:val="18"/>
    </w:rPr>
  </w:style>
  <w:style w:type="character" w:customStyle="1" w:styleId="Char0">
    <w:name w:val="页脚 Char"/>
    <w:basedOn w:val="a0"/>
    <w:link w:val="a4"/>
    <w:uiPriority w:val="99"/>
    <w:rsid w:val="00F12661"/>
    <w:rPr>
      <w:sz w:val="18"/>
      <w:szCs w:val="18"/>
    </w:rPr>
  </w:style>
  <w:style w:type="paragraph" w:styleId="a5">
    <w:name w:val="Balloon Text"/>
    <w:basedOn w:val="a"/>
    <w:link w:val="Char1"/>
    <w:uiPriority w:val="99"/>
    <w:semiHidden/>
    <w:unhideWhenUsed/>
    <w:rsid w:val="00C44E7A"/>
    <w:rPr>
      <w:sz w:val="18"/>
      <w:szCs w:val="18"/>
    </w:rPr>
  </w:style>
  <w:style w:type="character" w:customStyle="1" w:styleId="Char1">
    <w:name w:val="批注框文本 Char"/>
    <w:basedOn w:val="a0"/>
    <w:link w:val="a5"/>
    <w:uiPriority w:val="99"/>
    <w:semiHidden/>
    <w:rsid w:val="00C44E7A"/>
    <w:rPr>
      <w:sz w:val="18"/>
      <w:szCs w:val="18"/>
    </w:rPr>
  </w:style>
  <w:style w:type="paragraph" w:styleId="a6">
    <w:name w:val="Date"/>
    <w:basedOn w:val="a"/>
    <w:next w:val="a"/>
    <w:link w:val="Char2"/>
    <w:uiPriority w:val="99"/>
    <w:semiHidden/>
    <w:unhideWhenUsed/>
    <w:rsid w:val="00C44E7A"/>
    <w:pPr>
      <w:ind w:leftChars="2500" w:left="100"/>
    </w:pPr>
  </w:style>
  <w:style w:type="character" w:customStyle="1" w:styleId="Char2">
    <w:name w:val="日期 Char"/>
    <w:basedOn w:val="a0"/>
    <w:link w:val="a6"/>
    <w:uiPriority w:val="99"/>
    <w:semiHidden/>
    <w:rsid w:val="00C44E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2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2661"/>
    <w:rPr>
      <w:sz w:val="18"/>
      <w:szCs w:val="18"/>
    </w:rPr>
  </w:style>
  <w:style w:type="paragraph" w:styleId="a4">
    <w:name w:val="footer"/>
    <w:basedOn w:val="a"/>
    <w:link w:val="Char0"/>
    <w:uiPriority w:val="99"/>
    <w:unhideWhenUsed/>
    <w:rsid w:val="00F12661"/>
    <w:pPr>
      <w:tabs>
        <w:tab w:val="center" w:pos="4153"/>
        <w:tab w:val="right" w:pos="8306"/>
      </w:tabs>
      <w:snapToGrid w:val="0"/>
      <w:jc w:val="left"/>
    </w:pPr>
    <w:rPr>
      <w:sz w:val="18"/>
      <w:szCs w:val="18"/>
    </w:rPr>
  </w:style>
  <w:style w:type="character" w:customStyle="1" w:styleId="Char0">
    <w:name w:val="页脚 Char"/>
    <w:basedOn w:val="a0"/>
    <w:link w:val="a4"/>
    <w:uiPriority w:val="99"/>
    <w:rsid w:val="00F12661"/>
    <w:rPr>
      <w:sz w:val="18"/>
      <w:szCs w:val="18"/>
    </w:rPr>
  </w:style>
  <w:style w:type="paragraph" w:styleId="a5">
    <w:name w:val="Balloon Text"/>
    <w:basedOn w:val="a"/>
    <w:link w:val="Char1"/>
    <w:uiPriority w:val="99"/>
    <w:semiHidden/>
    <w:unhideWhenUsed/>
    <w:rsid w:val="00C44E7A"/>
    <w:rPr>
      <w:sz w:val="18"/>
      <w:szCs w:val="18"/>
    </w:rPr>
  </w:style>
  <w:style w:type="character" w:customStyle="1" w:styleId="Char1">
    <w:name w:val="批注框文本 Char"/>
    <w:basedOn w:val="a0"/>
    <w:link w:val="a5"/>
    <w:uiPriority w:val="99"/>
    <w:semiHidden/>
    <w:rsid w:val="00C44E7A"/>
    <w:rPr>
      <w:sz w:val="18"/>
      <w:szCs w:val="18"/>
    </w:rPr>
  </w:style>
  <w:style w:type="paragraph" w:styleId="a6">
    <w:name w:val="Date"/>
    <w:basedOn w:val="a"/>
    <w:next w:val="a"/>
    <w:link w:val="Char2"/>
    <w:uiPriority w:val="99"/>
    <w:semiHidden/>
    <w:unhideWhenUsed/>
    <w:rsid w:val="00C44E7A"/>
    <w:pPr>
      <w:ind w:leftChars="2500" w:left="100"/>
    </w:pPr>
  </w:style>
  <w:style w:type="character" w:customStyle="1" w:styleId="Char2">
    <w:name w:val="日期 Char"/>
    <w:basedOn w:val="a0"/>
    <w:link w:val="a6"/>
    <w:uiPriority w:val="99"/>
    <w:semiHidden/>
    <w:rsid w:val="00C44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248809">
      <w:bodyDiv w:val="1"/>
      <w:marLeft w:val="0"/>
      <w:marRight w:val="0"/>
      <w:marTop w:val="0"/>
      <w:marBottom w:val="0"/>
      <w:divBdr>
        <w:top w:val="none" w:sz="0" w:space="0" w:color="auto"/>
        <w:left w:val="none" w:sz="0" w:space="0" w:color="auto"/>
        <w:bottom w:val="none" w:sz="0" w:space="0" w:color="auto"/>
        <w:right w:val="none" w:sz="0" w:space="0" w:color="auto"/>
      </w:divBdr>
      <w:divsChild>
        <w:div w:id="864831727">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873</Words>
  <Characters>4981</Characters>
  <Application>Microsoft Office Word</Application>
  <DocSecurity>0</DocSecurity>
  <Lines>41</Lines>
  <Paragraphs>11</Paragraphs>
  <ScaleCrop>false</ScaleCrop>
  <Company/>
  <LinksUpToDate>false</LinksUpToDate>
  <CharactersWithSpaces>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戴丽娟</dc:creator>
  <cp:keywords/>
  <dc:description/>
  <cp:lastModifiedBy>戴丽娟</cp:lastModifiedBy>
  <cp:revision>5</cp:revision>
  <dcterms:created xsi:type="dcterms:W3CDTF">2021-05-14T03:17:00Z</dcterms:created>
  <dcterms:modified xsi:type="dcterms:W3CDTF">2021-05-16T07:18:00Z</dcterms:modified>
</cp:coreProperties>
</file>