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C2E8" w14:textId="77777777" w:rsidR="00243659" w:rsidRDefault="00243659" w:rsidP="00243659">
      <w:pPr>
        <w:pStyle w:val="a7"/>
        <w:spacing w:before="42"/>
      </w:pPr>
      <w:r>
        <w:t>附件1</w:t>
      </w:r>
    </w:p>
    <w:p w14:paraId="56012DB3" w14:textId="77777777" w:rsidR="00243659" w:rsidRDefault="00243659" w:rsidP="00243659">
      <w:pPr>
        <w:pStyle w:val="a7"/>
        <w:spacing w:before="1"/>
        <w:rPr>
          <w:sz w:val="38"/>
        </w:rPr>
      </w:pPr>
      <w:r>
        <w:br w:type="column"/>
      </w:r>
    </w:p>
    <w:p w14:paraId="064309B1" w14:textId="77777777" w:rsidR="00243659" w:rsidRDefault="00243659" w:rsidP="00243659">
      <w:pPr>
        <w:ind w:left="676"/>
        <w:rPr>
          <w:rFonts w:ascii="PMingLiU" w:eastAsia="PMingLiU"/>
          <w:sz w:val="44"/>
        </w:rPr>
      </w:pPr>
      <w:r>
        <w:rPr>
          <w:rFonts w:ascii="PMingLiU" w:eastAsia="PMingLiU" w:hint="eastAsia"/>
          <w:sz w:val="44"/>
        </w:rPr>
        <w:t>华东地区开放大学联盟</w:t>
      </w:r>
    </w:p>
    <w:p w14:paraId="54D780B9" w14:textId="77777777" w:rsidR="00243659" w:rsidRDefault="00243659" w:rsidP="00243659">
      <w:pPr>
        <w:rPr>
          <w:rFonts w:ascii="PMingLiU" w:eastAsia="PMingLiU"/>
          <w:sz w:val="44"/>
        </w:rPr>
        <w:sectPr w:rsidR="00243659" w:rsidSect="00243659">
          <w:pgSz w:w="11910" w:h="16840"/>
          <w:pgMar w:top="1360" w:right="0" w:bottom="1160" w:left="740" w:header="0" w:footer="967" w:gutter="0"/>
          <w:cols w:num="2" w:space="720" w:equalWidth="0">
            <w:col w:w="1838" w:space="509"/>
            <w:col w:w="8823"/>
          </w:cols>
        </w:sectPr>
      </w:pPr>
    </w:p>
    <w:p w14:paraId="6A72269A" w14:textId="77777777" w:rsidR="00243659" w:rsidRDefault="00243659" w:rsidP="00243659">
      <w:pPr>
        <w:spacing w:before="67"/>
        <w:ind w:right="726"/>
        <w:jc w:val="center"/>
        <w:rPr>
          <w:rFonts w:ascii="PMingLiU" w:eastAsia="PMingLiU"/>
          <w:sz w:val="44"/>
        </w:rPr>
      </w:pPr>
      <w:r>
        <w:rPr>
          <w:rFonts w:ascii="PMingLiU" w:eastAsia="PMingLiU" w:hint="eastAsia"/>
          <w:sz w:val="44"/>
        </w:rPr>
        <w:t>联合科研攻关课题2024-2025年度指南</w:t>
      </w:r>
    </w:p>
    <w:p w14:paraId="383FC347" w14:textId="77777777" w:rsidR="00243659" w:rsidRDefault="00243659" w:rsidP="00243659">
      <w:pPr>
        <w:pStyle w:val="a7"/>
        <w:spacing w:before="8"/>
        <w:rPr>
          <w:rFonts w:ascii="PMingLiU"/>
          <w:sz w:val="58"/>
        </w:rPr>
      </w:pPr>
    </w:p>
    <w:p w14:paraId="013352C3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spacing w:before="0"/>
        <w:ind w:hanging="323"/>
        <w:rPr>
          <w:sz w:val="32"/>
        </w:rPr>
      </w:pPr>
      <w:r>
        <w:rPr>
          <w:sz w:val="32"/>
        </w:rPr>
        <w:t>教育数字化赋能学习型社会建设</w:t>
      </w:r>
    </w:p>
    <w:p w14:paraId="28FABFC2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教育数字化赋能老年教育发展研究</w:t>
      </w:r>
    </w:p>
    <w:p w14:paraId="369B42CE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新质生产力视域下终身教育新体系构建</w:t>
      </w:r>
    </w:p>
    <w:p w14:paraId="7D5EA931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spacing w:line="350" w:lineRule="auto"/>
        <w:ind w:left="676" w:right="1530" w:firstLine="640"/>
        <w:rPr>
          <w:sz w:val="32"/>
        </w:rPr>
      </w:pPr>
      <w:r>
        <w:rPr>
          <w:w w:val="95"/>
          <w:sz w:val="32"/>
        </w:rPr>
        <w:t xml:space="preserve">教育数字化赋能高职教育与开放教育“双模式”一体化发 </w:t>
      </w:r>
      <w:r>
        <w:rPr>
          <w:sz w:val="32"/>
        </w:rPr>
        <w:t>展研究</w:t>
      </w:r>
    </w:p>
    <w:p w14:paraId="338DC8EB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spacing w:before="3"/>
        <w:ind w:hanging="323"/>
        <w:rPr>
          <w:sz w:val="32"/>
        </w:rPr>
      </w:pPr>
      <w:r>
        <w:rPr>
          <w:sz w:val="32"/>
        </w:rPr>
        <w:t>数字化转型视域下两岸终身教育融合发展研究</w:t>
      </w:r>
    </w:p>
    <w:p w14:paraId="6161AC9F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数字化赋能学生成长性评价体系研究</w:t>
      </w:r>
    </w:p>
    <w:p w14:paraId="7B283403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新时代开放大学高质量教师队伍建设研究</w:t>
      </w:r>
    </w:p>
    <w:p w14:paraId="506058A4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开放大学数字化教学资源共享研究</w:t>
      </w:r>
    </w:p>
    <w:p w14:paraId="1B3567AB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639"/>
        </w:tabs>
        <w:ind w:hanging="323"/>
        <w:rPr>
          <w:sz w:val="32"/>
        </w:rPr>
      </w:pPr>
      <w:r>
        <w:rPr>
          <w:sz w:val="32"/>
        </w:rPr>
        <w:t>数字教育背景下开放大学教师专业发展路径研究</w:t>
      </w:r>
    </w:p>
    <w:p w14:paraId="6AD6C7A9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w w:val="95"/>
          <w:sz w:val="32"/>
        </w:rPr>
        <w:t>新时代开放大学探索产教融合路径研究</w:t>
      </w:r>
    </w:p>
    <w:p w14:paraId="4CB6959B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w w:val="95"/>
          <w:sz w:val="32"/>
        </w:rPr>
        <w:t>新时代老年教育资源共建共享策略研究</w:t>
      </w:r>
    </w:p>
    <w:p w14:paraId="139634DA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w w:val="95"/>
          <w:sz w:val="32"/>
        </w:rPr>
        <w:t>教育数字化与区域教育高质量发展研究</w:t>
      </w:r>
    </w:p>
    <w:p w14:paraId="047644FF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数字化赋能学校家庭社会协同育人机制与实践研究</w:t>
      </w:r>
    </w:p>
    <w:p w14:paraId="4841AE26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数字化支撑老年大学办学模式改革研究</w:t>
      </w:r>
    </w:p>
    <w:p w14:paraId="1AC2B489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开放大学内部治理体系现代化研究</w:t>
      </w:r>
    </w:p>
    <w:p w14:paraId="3A949F3F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新质生产力视域下开放大学思想政治教育工作路径研究</w:t>
      </w:r>
    </w:p>
    <w:p w14:paraId="72AE058E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开放教育融合式教学发展与创新研究</w:t>
      </w:r>
    </w:p>
    <w:p w14:paraId="19181857" w14:textId="77777777" w:rsidR="00243659" w:rsidRDefault="00243659" w:rsidP="00243659">
      <w:pPr>
        <w:pStyle w:val="a9"/>
        <w:numPr>
          <w:ilvl w:val="0"/>
          <w:numId w:val="1"/>
        </w:numPr>
        <w:tabs>
          <w:tab w:val="left" w:pos="1799"/>
        </w:tabs>
        <w:ind w:left="1798" w:hanging="483"/>
        <w:rPr>
          <w:sz w:val="32"/>
        </w:rPr>
      </w:pPr>
      <w:r>
        <w:rPr>
          <w:sz w:val="32"/>
        </w:rPr>
        <w:t>开放大学教科研团队建设的模式与机制研究</w:t>
      </w:r>
    </w:p>
    <w:p w14:paraId="4C6A8FE8" w14:textId="77777777" w:rsidR="00243659" w:rsidRDefault="00243659" w:rsidP="00243659">
      <w:pPr>
        <w:rPr>
          <w:sz w:val="32"/>
        </w:rPr>
        <w:sectPr w:rsidR="00243659" w:rsidSect="00243659">
          <w:type w:val="continuous"/>
          <w:pgSz w:w="11910" w:h="16840"/>
          <w:pgMar w:top="1360" w:right="0" w:bottom="280" w:left="740" w:header="720" w:footer="720" w:gutter="0"/>
          <w:cols w:space="720"/>
        </w:sectPr>
      </w:pPr>
    </w:p>
    <w:p w14:paraId="2F1F8A01" w14:textId="02DAF1FB" w:rsidR="00243659" w:rsidRPr="00243659" w:rsidRDefault="00243659" w:rsidP="00243659">
      <w:pPr>
        <w:tabs>
          <w:tab w:val="left" w:pos="1799"/>
        </w:tabs>
        <w:spacing w:before="27"/>
        <w:rPr>
          <w:sz w:val="32"/>
        </w:rPr>
      </w:pPr>
      <w:r>
        <w:rPr>
          <w:rFonts w:hint="eastAsia"/>
          <w:sz w:val="32"/>
        </w:rPr>
        <w:lastRenderedPageBreak/>
        <w:t>19.</w:t>
      </w:r>
      <w:r w:rsidRPr="00243659">
        <w:rPr>
          <w:sz w:val="32"/>
        </w:rPr>
        <w:t>开放大学推进有组织科研的实践研究</w:t>
      </w:r>
    </w:p>
    <w:p w14:paraId="67FE1038" w14:textId="2F1F0888" w:rsidR="00243659" w:rsidRPr="00243659" w:rsidRDefault="00243659" w:rsidP="00243659">
      <w:pPr>
        <w:tabs>
          <w:tab w:val="left" w:pos="1799"/>
        </w:tabs>
        <w:rPr>
          <w:sz w:val="32"/>
        </w:rPr>
      </w:pPr>
      <w:r>
        <w:rPr>
          <w:rFonts w:hint="eastAsia"/>
          <w:sz w:val="32"/>
        </w:rPr>
        <w:t>20.</w:t>
      </w:r>
      <w:r w:rsidRPr="00243659">
        <w:rPr>
          <w:sz w:val="32"/>
        </w:rPr>
        <w:t>开放大学“大思政”课共建共享机制研究</w:t>
      </w:r>
    </w:p>
    <w:p w14:paraId="18C1159A" w14:textId="547AD429" w:rsidR="00243659" w:rsidRPr="00243659" w:rsidRDefault="00243659" w:rsidP="00243659">
      <w:pPr>
        <w:tabs>
          <w:tab w:val="left" w:pos="1799"/>
        </w:tabs>
        <w:rPr>
          <w:sz w:val="32"/>
        </w:rPr>
      </w:pPr>
      <w:r>
        <w:rPr>
          <w:rFonts w:hint="eastAsia"/>
          <w:sz w:val="32"/>
        </w:rPr>
        <w:t>21.</w:t>
      </w:r>
      <w:r w:rsidRPr="00243659">
        <w:rPr>
          <w:sz w:val="32"/>
        </w:rPr>
        <w:t>开放大学教师思想政治教育和师德师风建设研究</w:t>
      </w:r>
    </w:p>
    <w:p w14:paraId="426685F1" w14:textId="2AB0B764" w:rsidR="00243659" w:rsidRPr="00243659" w:rsidRDefault="00243659" w:rsidP="00243659">
      <w:pPr>
        <w:tabs>
          <w:tab w:val="left" w:pos="1799"/>
        </w:tabs>
        <w:rPr>
          <w:sz w:val="32"/>
        </w:rPr>
      </w:pPr>
      <w:r>
        <w:rPr>
          <w:rFonts w:hint="eastAsia"/>
          <w:sz w:val="32"/>
        </w:rPr>
        <w:t>22.</w:t>
      </w:r>
      <w:r w:rsidRPr="00243659">
        <w:rPr>
          <w:sz w:val="32"/>
        </w:rPr>
        <w:t>学分银行联盟的合作模式和运行机制研究</w:t>
      </w:r>
    </w:p>
    <w:p w14:paraId="722D55F3" w14:textId="5FAA1CD6" w:rsidR="00243659" w:rsidRPr="00243659" w:rsidRDefault="00243659" w:rsidP="00243659">
      <w:pPr>
        <w:tabs>
          <w:tab w:val="left" w:pos="1799"/>
        </w:tabs>
        <w:rPr>
          <w:sz w:val="32"/>
        </w:rPr>
      </w:pPr>
      <w:r>
        <w:rPr>
          <w:rFonts w:hint="eastAsia"/>
          <w:sz w:val="32"/>
        </w:rPr>
        <w:t>23.</w:t>
      </w:r>
      <w:r w:rsidRPr="00243659">
        <w:rPr>
          <w:sz w:val="32"/>
        </w:rPr>
        <w:t>省级开放大学办学主体性与依托性关系研究</w:t>
      </w:r>
    </w:p>
    <w:p w14:paraId="50473E97" w14:textId="7BA69D1B" w:rsidR="00243659" w:rsidRPr="00243659" w:rsidRDefault="00243659" w:rsidP="00243659">
      <w:pPr>
        <w:tabs>
          <w:tab w:val="left" w:pos="1766"/>
        </w:tabs>
        <w:rPr>
          <w:sz w:val="32"/>
        </w:rPr>
      </w:pPr>
      <w:r>
        <w:rPr>
          <w:rFonts w:hint="eastAsia"/>
          <w:spacing w:val="-12"/>
          <w:sz w:val="32"/>
        </w:rPr>
        <w:t>24.</w:t>
      </w:r>
      <w:r w:rsidRPr="00243659">
        <w:rPr>
          <w:spacing w:val="-12"/>
          <w:sz w:val="32"/>
        </w:rPr>
        <w:t>“两级统筹、四级办学”体制下市县</w:t>
      </w:r>
      <w:proofErr w:type="gramStart"/>
      <w:r w:rsidRPr="00243659">
        <w:rPr>
          <w:spacing w:val="-12"/>
          <w:sz w:val="32"/>
        </w:rPr>
        <w:t>级开放</w:t>
      </w:r>
      <w:proofErr w:type="gramEnd"/>
      <w:r w:rsidRPr="00243659">
        <w:rPr>
          <w:spacing w:val="-12"/>
          <w:sz w:val="32"/>
        </w:rPr>
        <w:t>大学建设研究</w:t>
      </w:r>
    </w:p>
    <w:p w14:paraId="583915AC" w14:textId="41D3141B" w:rsidR="00243659" w:rsidRPr="00243659" w:rsidRDefault="00243659" w:rsidP="00243659">
      <w:pPr>
        <w:tabs>
          <w:tab w:val="left" w:pos="1799"/>
        </w:tabs>
        <w:rPr>
          <w:sz w:val="32"/>
        </w:rPr>
      </w:pPr>
      <w:r w:rsidRPr="00243659">
        <w:rPr>
          <w:rFonts w:hint="eastAsia"/>
          <w:sz w:val="32"/>
        </w:rPr>
        <w:t>25.</w:t>
      </w:r>
      <w:r w:rsidRPr="00243659">
        <w:rPr>
          <w:sz w:val="32"/>
        </w:rPr>
        <w:t>开放教育教学质量保障体系研究</w:t>
      </w:r>
    </w:p>
    <w:p w14:paraId="3E37536D" w14:textId="77777777" w:rsidR="00243659" w:rsidRDefault="00243659" w:rsidP="00243659">
      <w:pPr>
        <w:tabs>
          <w:tab w:val="left" w:pos="1797"/>
        </w:tabs>
        <w:rPr>
          <w:sz w:val="32"/>
        </w:rPr>
      </w:pPr>
      <w:r w:rsidRPr="00243659">
        <w:rPr>
          <w:rFonts w:hint="eastAsia"/>
          <w:sz w:val="32"/>
        </w:rPr>
        <w:t>26.</w:t>
      </w:r>
      <w:r w:rsidRPr="00243659">
        <w:rPr>
          <w:sz w:val="32"/>
        </w:rPr>
        <w:t>新形势下开放大学合作办学研究</w:t>
      </w:r>
    </w:p>
    <w:p w14:paraId="4BEB5404" w14:textId="731315C6" w:rsidR="00243659" w:rsidRPr="00243659" w:rsidRDefault="00243659" w:rsidP="00243659">
      <w:pPr>
        <w:tabs>
          <w:tab w:val="left" w:pos="1797"/>
        </w:tabs>
        <w:rPr>
          <w:sz w:val="32"/>
        </w:rPr>
      </w:pPr>
      <w:r>
        <w:rPr>
          <w:rFonts w:hint="eastAsia"/>
          <w:sz w:val="32"/>
        </w:rPr>
        <w:t>27.</w:t>
      </w:r>
      <w:r w:rsidRPr="00243659">
        <w:rPr>
          <w:sz w:val="32"/>
        </w:rPr>
        <w:t>一流开放大学的教育质量管理的内涵与实践研究</w:t>
      </w:r>
    </w:p>
    <w:p w14:paraId="1E0307DB" w14:textId="35C182E9" w:rsidR="00243659" w:rsidRPr="00243659" w:rsidRDefault="00243659" w:rsidP="00243659">
      <w:pPr>
        <w:tabs>
          <w:tab w:val="left" w:pos="1797"/>
        </w:tabs>
        <w:rPr>
          <w:sz w:val="32"/>
        </w:rPr>
      </w:pPr>
      <w:r>
        <w:rPr>
          <w:rFonts w:hint="eastAsia"/>
          <w:w w:val="95"/>
          <w:sz w:val="32"/>
        </w:rPr>
        <w:t>28.</w:t>
      </w:r>
      <w:r w:rsidRPr="00243659">
        <w:rPr>
          <w:w w:val="95"/>
          <w:sz w:val="32"/>
        </w:rPr>
        <w:t>开放大学非学历教育创新发展研究</w:t>
      </w:r>
    </w:p>
    <w:p w14:paraId="75510D56" w14:textId="6B862373" w:rsidR="00243659" w:rsidRPr="00243659" w:rsidRDefault="00243659" w:rsidP="00243659">
      <w:pPr>
        <w:tabs>
          <w:tab w:val="left" w:pos="1797"/>
        </w:tabs>
        <w:rPr>
          <w:sz w:val="32"/>
        </w:rPr>
      </w:pPr>
      <w:r>
        <w:rPr>
          <w:rFonts w:hint="eastAsia"/>
          <w:w w:val="95"/>
          <w:sz w:val="32"/>
        </w:rPr>
        <w:t>29.</w:t>
      </w:r>
      <w:r w:rsidRPr="00243659">
        <w:rPr>
          <w:w w:val="95"/>
          <w:sz w:val="32"/>
        </w:rPr>
        <w:t>开放大学国际化的实践和探索研究</w:t>
      </w:r>
    </w:p>
    <w:p w14:paraId="41797F99" w14:textId="668829B1" w:rsidR="00243659" w:rsidRPr="00243659" w:rsidRDefault="00243659" w:rsidP="00243659">
      <w:pPr>
        <w:tabs>
          <w:tab w:val="left" w:pos="1797"/>
        </w:tabs>
        <w:rPr>
          <w:sz w:val="32"/>
        </w:rPr>
      </w:pPr>
      <w:r>
        <w:rPr>
          <w:rFonts w:hint="eastAsia"/>
          <w:sz w:val="32"/>
        </w:rPr>
        <w:t>30.</w:t>
      </w:r>
      <w:r w:rsidRPr="00243659">
        <w:rPr>
          <w:sz w:val="32"/>
        </w:rPr>
        <w:t>世界知名大学的终身学习发展战略研究</w:t>
      </w:r>
    </w:p>
    <w:p w14:paraId="6D20E506" w14:textId="77777777" w:rsidR="00243659" w:rsidRDefault="00243659" w:rsidP="00243659">
      <w:pPr>
        <w:pStyle w:val="a7"/>
      </w:pPr>
    </w:p>
    <w:p w14:paraId="50848FB1" w14:textId="7A9D3C2B" w:rsidR="00243659" w:rsidRPr="00826D8C" w:rsidRDefault="00243659" w:rsidP="00243659">
      <w:pPr>
        <w:rPr>
          <w:sz w:val="30"/>
          <w:szCs w:val="30"/>
        </w:rPr>
      </w:pPr>
      <w:r w:rsidRPr="00826D8C">
        <w:rPr>
          <w:sz w:val="30"/>
          <w:szCs w:val="30"/>
        </w:rPr>
        <w:t>注：1-16为2024-2025年度新增联合科研课题选题指南</w:t>
      </w:r>
      <w:r w:rsidRPr="00826D8C">
        <w:rPr>
          <w:rFonts w:hint="eastAsia"/>
          <w:sz w:val="30"/>
          <w:szCs w:val="30"/>
        </w:rPr>
        <w:t>，</w:t>
      </w:r>
      <w:r w:rsidRPr="00826D8C">
        <w:rPr>
          <w:sz w:val="30"/>
          <w:szCs w:val="30"/>
        </w:rPr>
        <w:t>17-30为2023-2024年度延续性选题指南。</w:t>
      </w:r>
    </w:p>
    <w:p w14:paraId="61E72A7E" w14:textId="77777777" w:rsidR="00E7278F" w:rsidRPr="00243659" w:rsidRDefault="00E7278F" w:rsidP="00243659"/>
    <w:sectPr w:rsidR="00E7278F" w:rsidRPr="0024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4C05" w14:textId="77777777" w:rsidR="00CC50DB" w:rsidRDefault="00CC50DB" w:rsidP="00243659">
      <w:r>
        <w:separator/>
      </w:r>
    </w:p>
  </w:endnote>
  <w:endnote w:type="continuationSeparator" w:id="0">
    <w:p w14:paraId="0A30DA25" w14:textId="77777777" w:rsidR="00CC50DB" w:rsidRDefault="00CC50DB" w:rsidP="0024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C7F8" w14:textId="77777777" w:rsidR="00CC50DB" w:rsidRDefault="00CC50DB" w:rsidP="00243659">
      <w:r>
        <w:separator/>
      </w:r>
    </w:p>
  </w:footnote>
  <w:footnote w:type="continuationSeparator" w:id="0">
    <w:p w14:paraId="7F3BED00" w14:textId="77777777" w:rsidR="00CC50DB" w:rsidRDefault="00CC50DB" w:rsidP="0024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044A"/>
    <w:multiLevelType w:val="hybridMultilevel"/>
    <w:tmpl w:val="7F706B1A"/>
    <w:lvl w:ilvl="0" w:tplc="243EDC56">
      <w:start w:val="1"/>
      <w:numFmt w:val="decimal"/>
      <w:lvlText w:val="%1."/>
      <w:lvlJc w:val="left"/>
      <w:pPr>
        <w:ind w:left="1638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zh-CN" w:eastAsia="zh-CN" w:bidi="zh-CN"/>
      </w:rPr>
    </w:lvl>
    <w:lvl w:ilvl="1" w:tplc="511C0E9C">
      <w:numFmt w:val="bullet"/>
      <w:lvlText w:val="•"/>
      <w:lvlJc w:val="left"/>
      <w:pPr>
        <w:ind w:left="2592" w:hanging="322"/>
      </w:pPr>
      <w:rPr>
        <w:rFonts w:hint="default"/>
        <w:lang w:val="zh-CN" w:eastAsia="zh-CN" w:bidi="zh-CN"/>
      </w:rPr>
    </w:lvl>
    <w:lvl w:ilvl="2" w:tplc="F922285E">
      <w:numFmt w:val="bullet"/>
      <w:lvlText w:val="•"/>
      <w:lvlJc w:val="left"/>
      <w:pPr>
        <w:ind w:left="3545" w:hanging="322"/>
      </w:pPr>
      <w:rPr>
        <w:rFonts w:hint="default"/>
        <w:lang w:val="zh-CN" w:eastAsia="zh-CN" w:bidi="zh-CN"/>
      </w:rPr>
    </w:lvl>
    <w:lvl w:ilvl="3" w:tplc="017AE804">
      <w:numFmt w:val="bullet"/>
      <w:lvlText w:val="•"/>
      <w:lvlJc w:val="left"/>
      <w:pPr>
        <w:ind w:left="4498" w:hanging="322"/>
      </w:pPr>
      <w:rPr>
        <w:rFonts w:hint="default"/>
        <w:lang w:val="zh-CN" w:eastAsia="zh-CN" w:bidi="zh-CN"/>
      </w:rPr>
    </w:lvl>
    <w:lvl w:ilvl="4" w:tplc="7AB63DAC">
      <w:numFmt w:val="bullet"/>
      <w:lvlText w:val="•"/>
      <w:lvlJc w:val="left"/>
      <w:pPr>
        <w:ind w:left="5450" w:hanging="322"/>
      </w:pPr>
      <w:rPr>
        <w:rFonts w:hint="default"/>
        <w:lang w:val="zh-CN" w:eastAsia="zh-CN" w:bidi="zh-CN"/>
      </w:rPr>
    </w:lvl>
    <w:lvl w:ilvl="5" w:tplc="3E04902A">
      <w:numFmt w:val="bullet"/>
      <w:lvlText w:val="•"/>
      <w:lvlJc w:val="left"/>
      <w:pPr>
        <w:ind w:left="6403" w:hanging="322"/>
      </w:pPr>
      <w:rPr>
        <w:rFonts w:hint="default"/>
        <w:lang w:val="zh-CN" w:eastAsia="zh-CN" w:bidi="zh-CN"/>
      </w:rPr>
    </w:lvl>
    <w:lvl w:ilvl="6" w:tplc="430CB0CC">
      <w:numFmt w:val="bullet"/>
      <w:lvlText w:val="•"/>
      <w:lvlJc w:val="left"/>
      <w:pPr>
        <w:ind w:left="7356" w:hanging="322"/>
      </w:pPr>
      <w:rPr>
        <w:rFonts w:hint="default"/>
        <w:lang w:val="zh-CN" w:eastAsia="zh-CN" w:bidi="zh-CN"/>
      </w:rPr>
    </w:lvl>
    <w:lvl w:ilvl="7" w:tplc="0BC833FE">
      <w:numFmt w:val="bullet"/>
      <w:lvlText w:val="•"/>
      <w:lvlJc w:val="left"/>
      <w:pPr>
        <w:ind w:left="8308" w:hanging="322"/>
      </w:pPr>
      <w:rPr>
        <w:rFonts w:hint="default"/>
        <w:lang w:val="zh-CN" w:eastAsia="zh-CN" w:bidi="zh-CN"/>
      </w:rPr>
    </w:lvl>
    <w:lvl w:ilvl="8" w:tplc="EA30E5D8">
      <w:numFmt w:val="bullet"/>
      <w:lvlText w:val="•"/>
      <w:lvlJc w:val="left"/>
      <w:pPr>
        <w:ind w:left="9261" w:hanging="322"/>
      </w:pPr>
      <w:rPr>
        <w:rFonts w:hint="default"/>
        <w:lang w:val="zh-CN" w:eastAsia="zh-CN" w:bidi="zh-CN"/>
      </w:rPr>
    </w:lvl>
  </w:abstractNum>
  <w:num w:numId="1" w16cid:durableId="45856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D"/>
    <w:rsid w:val="00243659"/>
    <w:rsid w:val="00550F0D"/>
    <w:rsid w:val="00826D8C"/>
    <w:rsid w:val="00A220A7"/>
    <w:rsid w:val="00C716F0"/>
    <w:rsid w:val="00CC50DB"/>
    <w:rsid w:val="00E7278F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029F"/>
  <w15:chartTrackingRefBased/>
  <w15:docId w15:val="{52E37686-DA99-48F1-89A2-F9B4CC0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5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6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65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43659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243659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243659"/>
    <w:pPr>
      <w:spacing w:before="190"/>
      <w:ind w:left="1798" w:hanging="4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淺羽 直之</dc:creator>
  <cp:keywords/>
  <dc:description/>
  <cp:lastModifiedBy>淺羽 直之</cp:lastModifiedBy>
  <cp:revision>5</cp:revision>
  <dcterms:created xsi:type="dcterms:W3CDTF">2024-08-08T09:08:00Z</dcterms:created>
  <dcterms:modified xsi:type="dcterms:W3CDTF">2024-08-08T09:12:00Z</dcterms:modified>
</cp:coreProperties>
</file>