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7A6" w:rsidRDefault="000457A6" w:rsidP="008C3F50">
      <w:pPr>
        <w:spacing w:afterLines="50"/>
        <w:jc w:val="center"/>
        <w:rPr>
          <w:rFonts w:ascii="黑体" w:eastAsia="黑体" w:hAnsi="黑体"/>
          <w:sz w:val="36"/>
          <w:szCs w:val="36"/>
        </w:rPr>
      </w:pPr>
      <w:r>
        <w:rPr>
          <w:rFonts w:ascii="黑体" w:eastAsia="黑体" w:hAnsi="黑体" w:hint="eastAsia"/>
          <w:sz w:val="36"/>
          <w:szCs w:val="36"/>
        </w:rPr>
        <w:t>中国教育发展战略学会终身学习专业委员会</w:t>
      </w:r>
    </w:p>
    <w:p w:rsidR="0085796D" w:rsidRDefault="000457A6" w:rsidP="008C3F50">
      <w:pPr>
        <w:spacing w:afterLines="50"/>
        <w:jc w:val="center"/>
        <w:rPr>
          <w:rFonts w:ascii="黑体" w:eastAsia="黑体" w:hAnsi="黑体"/>
          <w:sz w:val="36"/>
          <w:szCs w:val="36"/>
        </w:rPr>
      </w:pPr>
      <w:r>
        <w:rPr>
          <w:rFonts w:ascii="黑体" w:eastAsia="黑体" w:hAnsi="黑体" w:hint="eastAsia"/>
          <w:sz w:val="36"/>
          <w:szCs w:val="36"/>
        </w:rPr>
        <w:t>2018年</w:t>
      </w:r>
      <w:r w:rsidR="00547961" w:rsidRPr="00547961">
        <w:rPr>
          <w:rFonts w:ascii="黑体" w:eastAsia="黑体" w:hAnsi="黑体" w:hint="eastAsia"/>
          <w:sz w:val="36"/>
          <w:szCs w:val="36"/>
        </w:rPr>
        <w:t>终身学习战略研究立项</w:t>
      </w:r>
      <w:r w:rsidR="0085796D">
        <w:rPr>
          <w:rFonts w:ascii="黑体" w:eastAsia="黑体" w:hAnsi="黑体" w:hint="eastAsia"/>
          <w:sz w:val="36"/>
          <w:szCs w:val="36"/>
        </w:rPr>
        <w:t>课题指南</w:t>
      </w:r>
      <w:r w:rsidR="00E53307">
        <w:rPr>
          <w:rFonts w:ascii="黑体" w:eastAsia="黑体" w:hAnsi="黑体" w:hint="eastAsia"/>
          <w:sz w:val="36"/>
          <w:szCs w:val="36"/>
        </w:rPr>
        <w:t xml:space="preserve"> </w:t>
      </w:r>
    </w:p>
    <w:p w:rsidR="0085796D" w:rsidRDefault="0085796D" w:rsidP="0085796D">
      <w:pPr>
        <w:spacing w:line="360" w:lineRule="auto"/>
        <w:rPr>
          <w:rFonts w:ascii="宋体" w:hAnsi="宋体"/>
          <w:sz w:val="24"/>
          <w:szCs w:val="24"/>
        </w:rPr>
      </w:pPr>
    </w:p>
    <w:p w:rsidR="0085796D" w:rsidRDefault="0085796D" w:rsidP="0085796D">
      <w:pPr>
        <w:adjustRightInd w:val="0"/>
        <w:snapToGrid w:val="0"/>
        <w:spacing w:line="360" w:lineRule="auto"/>
        <w:ind w:firstLineChars="200" w:firstLine="480"/>
        <w:rPr>
          <w:rFonts w:ascii="宋体" w:hAnsi="宋体"/>
          <w:sz w:val="24"/>
          <w:szCs w:val="24"/>
        </w:rPr>
      </w:pPr>
      <w:r>
        <w:rPr>
          <w:rFonts w:ascii="宋体" w:hAnsi="宋体" w:hint="eastAsia"/>
          <w:sz w:val="24"/>
          <w:szCs w:val="24"/>
        </w:rPr>
        <w:t>2018年度课题指南含十类93项，允许申报者以此为基础，适当改变和细化具体的题目文字。</w:t>
      </w:r>
    </w:p>
    <w:p w:rsidR="0085796D" w:rsidRDefault="0085796D" w:rsidP="0085796D">
      <w:pPr>
        <w:spacing w:line="360" w:lineRule="auto"/>
        <w:ind w:firstLineChars="200" w:firstLine="480"/>
        <w:rPr>
          <w:rFonts w:ascii="宋体" w:hAnsi="宋体"/>
          <w:sz w:val="24"/>
          <w:szCs w:val="24"/>
        </w:rPr>
      </w:pPr>
    </w:p>
    <w:p w:rsidR="0085796D" w:rsidRDefault="0085796D" w:rsidP="0085796D">
      <w:pPr>
        <w:spacing w:line="360" w:lineRule="auto"/>
        <w:ind w:firstLineChars="200" w:firstLine="482"/>
        <w:rPr>
          <w:rFonts w:ascii="宋体" w:hAnsi="宋体"/>
          <w:b/>
          <w:sz w:val="24"/>
          <w:szCs w:val="24"/>
        </w:rPr>
      </w:pPr>
      <w:r>
        <w:rPr>
          <w:rFonts w:ascii="宋体" w:hAnsi="宋体" w:hint="eastAsia"/>
          <w:b/>
          <w:sz w:val="24"/>
          <w:szCs w:val="24"/>
        </w:rPr>
        <w:t>一、习近平教育思想与党的十九大会议精神研究（编号：18010101-18010699）</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1.习近平教育思想与终身学习思想研究（可参考2016年12月7日加快建设世界一流大学和一流学科----习近平在全国高校思想政治工作会议上的讲话、2014年5月4日习近平在北京大学师生座谈会上的讲话、2014年9月9日习近平同北京师范大学师生代表座谈时的讲话、</w:t>
      </w:r>
      <w:r>
        <w:rPr>
          <w:rFonts w:ascii="宋体" w:hAnsi="宋体"/>
          <w:sz w:val="24"/>
          <w:szCs w:val="24"/>
        </w:rPr>
        <w:t>2016年9月10日习近平总书记在北京市八一学校考察时</w:t>
      </w:r>
      <w:r>
        <w:rPr>
          <w:rFonts w:ascii="宋体" w:hAnsi="宋体" w:hint="eastAsia"/>
          <w:sz w:val="24"/>
          <w:szCs w:val="24"/>
        </w:rPr>
        <w:t>的</w:t>
      </w:r>
      <w:r>
        <w:rPr>
          <w:rFonts w:ascii="宋体" w:hAnsi="宋体"/>
          <w:sz w:val="24"/>
          <w:szCs w:val="24"/>
        </w:rPr>
        <w:t>讲话</w:t>
      </w:r>
      <w:r>
        <w:rPr>
          <w:rFonts w:ascii="宋体" w:hAnsi="宋体" w:hint="eastAsia"/>
          <w:sz w:val="24"/>
          <w:szCs w:val="24"/>
        </w:rPr>
        <w:t>等）</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2.习近平学习大国思想研究（可</w:t>
      </w:r>
      <w:proofErr w:type="gramStart"/>
      <w:r>
        <w:rPr>
          <w:rFonts w:ascii="宋体" w:hAnsi="宋体" w:hint="eastAsia"/>
          <w:sz w:val="24"/>
          <w:szCs w:val="24"/>
        </w:rPr>
        <w:t>参考党</w:t>
      </w:r>
      <w:proofErr w:type="gramEnd"/>
      <w:r>
        <w:rPr>
          <w:rFonts w:ascii="宋体" w:hAnsi="宋体" w:hint="eastAsia"/>
          <w:sz w:val="24"/>
          <w:szCs w:val="24"/>
        </w:rPr>
        <w:t>的十九大报告、中国要永远做一个学习大国---习近平2014年5月22日在上海外国专家座谈会上的讲话等）</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3.习近平马克思主义学习型政党建设思想（可</w:t>
      </w:r>
      <w:proofErr w:type="gramStart"/>
      <w:r>
        <w:rPr>
          <w:rFonts w:ascii="宋体" w:hAnsi="宋体" w:hint="eastAsia"/>
          <w:sz w:val="24"/>
          <w:szCs w:val="24"/>
        </w:rPr>
        <w:t>参考党</w:t>
      </w:r>
      <w:proofErr w:type="gramEnd"/>
      <w:r>
        <w:rPr>
          <w:rFonts w:ascii="宋体" w:hAnsi="宋体" w:hint="eastAsia"/>
          <w:sz w:val="24"/>
          <w:szCs w:val="24"/>
        </w:rPr>
        <w:t>的十九大报告、习近平在中央党校2009年秋季学期第二批进修班开学典礼上的讲话、党的十八大报告等）</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4.党的十九大报告关于教育优先发展，“办好继续教育，加快建设学习型社会，大力提高国民素质”的战略研究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5.“两个一百年”战略下的全民终身学习研究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6.习近平教育信息化、网络教育强国的思想研究</w:t>
      </w:r>
    </w:p>
    <w:p w:rsidR="0085796D" w:rsidRDefault="0085796D" w:rsidP="0085796D">
      <w:pPr>
        <w:spacing w:line="360" w:lineRule="auto"/>
        <w:ind w:firstLineChars="200" w:firstLine="480"/>
        <w:rPr>
          <w:rFonts w:ascii="宋体" w:hAnsi="宋体"/>
          <w:sz w:val="24"/>
          <w:szCs w:val="24"/>
        </w:rPr>
      </w:pPr>
    </w:p>
    <w:p w:rsidR="0085796D" w:rsidRDefault="0085796D" w:rsidP="0085796D">
      <w:pPr>
        <w:spacing w:line="360" w:lineRule="auto"/>
        <w:ind w:firstLineChars="200" w:firstLine="482"/>
        <w:rPr>
          <w:rFonts w:ascii="宋体" w:hAnsi="宋体"/>
          <w:b/>
          <w:sz w:val="24"/>
          <w:szCs w:val="24"/>
        </w:rPr>
      </w:pPr>
      <w:r>
        <w:rPr>
          <w:rFonts w:ascii="宋体" w:hAnsi="宋体" w:hint="eastAsia"/>
          <w:b/>
          <w:sz w:val="24"/>
          <w:szCs w:val="24"/>
        </w:rPr>
        <w:t>二、改革开放四十年与2035、2050我国终身教育与学习型社会建设研究（编号：1800101-18020699）</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*1.终身教育发展的中国经验——改革开放40年终身教育的历史回顾与展望</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2.中国终身教育体系建设四十年与2035、2050发展</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3.中国成人教育与继续教育创新发展四十年与2035、2050发展</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4.我国学习型社会建设十八年与2035、2050发展</w:t>
      </w:r>
    </w:p>
    <w:p w:rsidR="0085796D" w:rsidRDefault="0085796D" w:rsidP="0085796D">
      <w:pPr>
        <w:spacing w:line="360" w:lineRule="auto"/>
        <w:ind w:firstLineChars="200" w:firstLine="480"/>
        <w:rPr>
          <w:rFonts w:ascii="宋体" w:hAnsi="宋体"/>
          <w:sz w:val="24"/>
          <w:szCs w:val="24"/>
        </w:rPr>
      </w:pPr>
      <w:r>
        <w:rPr>
          <w:rFonts w:ascii="宋体" w:hAnsi="宋体"/>
          <w:sz w:val="24"/>
          <w:szCs w:val="24"/>
        </w:rPr>
        <w:t>5</w:t>
      </w:r>
      <w:r>
        <w:rPr>
          <w:rFonts w:ascii="宋体" w:hAnsi="宋体" w:hint="eastAsia"/>
          <w:sz w:val="24"/>
          <w:szCs w:val="24"/>
        </w:rPr>
        <w:t>.我国社区教育三十年与2035、2050发展</w:t>
      </w:r>
    </w:p>
    <w:p w:rsidR="0085796D" w:rsidRDefault="0085796D" w:rsidP="0085796D">
      <w:pPr>
        <w:spacing w:line="360" w:lineRule="auto"/>
        <w:ind w:firstLineChars="200" w:firstLine="480"/>
        <w:rPr>
          <w:rFonts w:ascii="宋体" w:hAnsi="宋体"/>
          <w:sz w:val="24"/>
          <w:szCs w:val="24"/>
        </w:rPr>
      </w:pPr>
      <w:r>
        <w:rPr>
          <w:rFonts w:ascii="宋体" w:hAnsi="宋体"/>
          <w:sz w:val="24"/>
          <w:szCs w:val="24"/>
        </w:rPr>
        <w:t>6</w:t>
      </w:r>
      <w:r>
        <w:rPr>
          <w:rFonts w:ascii="宋体" w:hAnsi="宋体" w:hint="eastAsia"/>
          <w:sz w:val="24"/>
          <w:szCs w:val="24"/>
        </w:rPr>
        <w:t>.远程教育（函授、业余、电大、</w:t>
      </w:r>
      <w:proofErr w:type="gramStart"/>
      <w:r>
        <w:rPr>
          <w:rFonts w:ascii="宋体" w:hAnsi="宋体" w:hint="eastAsia"/>
          <w:sz w:val="24"/>
          <w:szCs w:val="24"/>
        </w:rPr>
        <w:t>网院教育</w:t>
      </w:r>
      <w:proofErr w:type="gramEnd"/>
      <w:r>
        <w:rPr>
          <w:rFonts w:ascii="宋体" w:hAnsi="宋体" w:hint="eastAsia"/>
          <w:sz w:val="24"/>
          <w:szCs w:val="24"/>
        </w:rPr>
        <w:t>）四十年与2035、2050发展</w:t>
      </w:r>
    </w:p>
    <w:p w:rsidR="0085796D" w:rsidRDefault="0085796D" w:rsidP="0085796D">
      <w:pPr>
        <w:spacing w:line="360" w:lineRule="auto"/>
        <w:ind w:firstLineChars="200" w:firstLine="480"/>
        <w:rPr>
          <w:rFonts w:ascii="宋体" w:hAnsi="宋体"/>
          <w:sz w:val="24"/>
          <w:szCs w:val="24"/>
        </w:rPr>
      </w:pPr>
    </w:p>
    <w:p w:rsidR="0085796D" w:rsidRDefault="0085796D" w:rsidP="0085796D">
      <w:pPr>
        <w:spacing w:line="360" w:lineRule="auto"/>
        <w:ind w:firstLineChars="200" w:firstLine="482"/>
        <w:rPr>
          <w:rFonts w:ascii="宋体" w:hAnsi="宋体"/>
          <w:b/>
          <w:sz w:val="24"/>
          <w:szCs w:val="24"/>
        </w:rPr>
      </w:pPr>
      <w:r>
        <w:rPr>
          <w:rFonts w:ascii="宋体" w:hAnsi="宋体" w:hint="eastAsia"/>
          <w:b/>
          <w:sz w:val="24"/>
          <w:szCs w:val="24"/>
        </w:rPr>
        <w:t>三、加快学习型社会、学习型城市与学习型组织建设研究（编号：18030101-18030999）</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lastRenderedPageBreak/>
        <w:t>1.加快学习型社会建设与区域社会绿色发展研究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2.深化学习型城市建设与城市包容性、可持续繁荣发展研究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*3.学习型城市建设测评的实践研究</w:t>
      </w:r>
    </w:p>
    <w:p w:rsidR="0085796D" w:rsidRDefault="0085796D" w:rsidP="0085796D">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.积极推进各类学习型组织建设与组织创新发展</w:t>
      </w:r>
    </w:p>
    <w:p w:rsidR="0085796D" w:rsidRDefault="0085796D" w:rsidP="0085796D">
      <w:pPr>
        <w:spacing w:line="360" w:lineRule="auto"/>
        <w:ind w:firstLineChars="200" w:firstLine="480"/>
        <w:rPr>
          <w:rFonts w:ascii="宋体" w:hAnsi="宋体"/>
          <w:sz w:val="24"/>
          <w:szCs w:val="24"/>
        </w:rPr>
      </w:pPr>
      <w:r>
        <w:rPr>
          <w:rFonts w:ascii="宋体" w:hAnsi="宋体"/>
          <w:sz w:val="24"/>
          <w:szCs w:val="24"/>
        </w:rPr>
        <w:t>5</w:t>
      </w:r>
      <w:r>
        <w:rPr>
          <w:rFonts w:ascii="宋体" w:hAnsi="宋体" w:hint="eastAsia"/>
          <w:sz w:val="24"/>
          <w:szCs w:val="24"/>
        </w:rPr>
        <w:t>.</w:t>
      </w:r>
      <w:r>
        <w:rPr>
          <w:rFonts w:ascii="宋体" w:hAnsi="宋体" w:hint="eastAsia"/>
          <w:kern w:val="0"/>
          <w:sz w:val="24"/>
          <w:szCs w:val="24"/>
        </w:rPr>
        <w:t>学习型组织建设的成功实践案例研究（不同社区及机构团体）；</w:t>
      </w:r>
    </w:p>
    <w:p w:rsidR="0085796D" w:rsidRDefault="0085796D" w:rsidP="0085796D">
      <w:pPr>
        <w:spacing w:line="360" w:lineRule="auto"/>
        <w:ind w:firstLineChars="200" w:firstLine="480"/>
        <w:rPr>
          <w:rFonts w:ascii="宋体" w:hAnsi="宋体"/>
          <w:sz w:val="24"/>
          <w:szCs w:val="24"/>
        </w:rPr>
      </w:pPr>
      <w:r>
        <w:rPr>
          <w:rFonts w:ascii="宋体" w:hAnsi="宋体"/>
          <w:sz w:val="24"/>
          <w:szCs w:val="24"/>
        </w:rPr>
        <w:t>6</w:t>
      </w:r>
      <w:r>
        <w:rPr>
          <w:rFonts w:ascii="宋体" w:hAnsi="宋体" w:hint="eastAsia"/>
          <w:sz w:val="24"/>
          <w:szCs w:val="24"/>
        </w:rPr>
        <w:t>.积极培育学习共同体组织促进群体学习与幸福生活的研究</w:t>
      </w:r>
    </w:p>
    <w:p w:rsidR="0085796D" w:rsidRDefault="0085796D" w:rsidP="0085796D">
      <w:pPr>
        <w:spacing w:line="360" w:lineRule="auto"/>
        <w:ind w:firstLineChars="200" w:firstLine="480"/>
        <w:rPr>
          <w:rFonts w:ascii="宋体" w:hAnsi="宋体"/>
          <w:sz w:val="24"/>
          <w:szCs w:val="24"/>
        </w:rPr>
      </w:pPr>
      <w:r>
        <w:rPr>
          <w:rFonts w:ascii="宋体" w:hAnsi="宋体"/>
          <w:sz w:val="24"/>
          <w:szCs w:val="24"/>
        </w:rPr>
        <w:t>7</w:t>
      </w:r>
      <w:r>
        <w:rPr>
          <w:rFonts w:ascii="宋体" w:hAnsi="宋体" w:hint="eastAsia"/>
          <w:sz w:val="24"/>
          <w:szCs w:val="24"/>
        </w:rPr>
        <w:t>.深化教育领域综合改革，加快建设学习型社会研究（陈宝生部长2018年1月8日人民日报文章）</w:t>
      </w:r>
    </w:p>
    <w:p w:rsidR="0085796D" w:rsidRDefault="0085796D" w:rsidP="0085796D">
      <w:pPr>
        <w:spacing w:line="360" w:lineRule="auto"/>
        <w:ind w:firstLineChars="200" w:firstLine="480"/>
        <w:rPr>
          <w:rFonts w:ascii="宋体" w:hAnsi="宋体"/>
          <w:sz w:val="24"/>
          <w:szCs w:val="24"/>
        </w:rPr>
      </w:pPr>
      <w:r>
        <w:rPr>
          <w:rFonts w:ascii="宋体" w:hAnsi="宋体"/>
          <w:sz w:val="24"/>
          <w:szCs w:val="24"/>
        </w:rPr>
        <w:t>8</w:t>
      </w:r>
      <w:r>
        <w:rPr>
          <w:rFonts w:ascii="宋体" w:hAnsi="宋体" w:hint="eastAsia"/>
          <w:sz w:val="24"/>
          <w:szCs w:val="24"/>
        </w:rPr>
        <w:t>.更好适应亿万学习者多样化需求研究（陈宝生部长2018年1月8日人民日报文章）</w:t>
      </w:r>
    </w:p>
    <w:p w:rsidR="0085796D" w:rsidRDefault="0085796D" w:rsidP="0085796D">
      <w:pPr>
        <w:spacing w:line="360" w:lineRule="auto"/>
        <w:ind w:firstLineChars="200" w:firstLine="480"/>
        <w:rPr>
          <w:rFonts w:ascii="宋体" w:hAnsi="宋体"/>
          <w:sz w:val="24"/>
          <w:szCs w:val="24"/>
        </w:rPr>
      </w:pPr>
      <w:r>
        <w:rPr>
          <w:rFonts w:ascii="宋体" w:hAnsi="宋体"/>
          <w:sz w:val="24"/>
          <w:szCs w:val="24"/>
        </w:rPr>
        <w:t>9</w:t>
      </w:r>
      <w:r>
        <w:rPr>
          <w:rFonts w:ascii="宋体" w:hAnsi="宋体" w:hint="eastAsia"/>
          <w:sz w:val="24"/>
          <w:szCs w:val="24"/>
        </w:rPr>
        <w:t>.人人愿学、时时可学、处处能学，学有所成、学有所用的学习型社会的研究（陈宝生部长2018年1月8日人民日报文章）</w:t>
      </w:r>
    </w:p>
    <w:p w:rsidR="0085796D" w:rsidRDefault="0085796D" w:rsidP="0085796D">
      <w:pPr>
        <w:spacing w:line="360" w:lineRule="auto"/>
        <w:ind w:firstLineChars="200" w:firstLine="480"/>
        <w:rPr>
          <w:rFonts w:ascii="宋体" w:hAnsi="宋体"/>
          <w:sz w:val="24"/>
          <w:szCs w:val="24"/>
        </w:rPr>
      </w:pPr>
    </w:p>
    <w:p w:rsidR="0085796D" w:rsidRDefault="0085796D" w:rsidP="0085796D">
      <w:pPr>
        <w:spacing w:line="360" w:lineRule="auto"/>
        <w:ind w:firstLineChars="200" w:firstLine="482"/>
        <w:rPr>
          <w:rFonts w:ascii="宋体" w:hAnsi="宋体"/>
          <w:b/>
          <w:sz w:val="24"/>
          <w:szCs w:val="24"/>
        </w:rPr>
      </w:pPr>
      <w:r>
        <w:rPr>
          <w:rFonts w:ascii="宋体" w:hAnsi="宋体" w:hint="eastAsia"/>
          <w:b/>
          <w:sz w:val="24"/>
          <w:szCs w:val="24"/>
        </w:rPr>
        <w:t>四、终身学习服务体系研究（编号：18040101-18042199）</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1.完善终身教育体系建设研究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2.关于终身教育的整体性研究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3.终身教育国家体系建设</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4.各级各类教育构成终身教育立交桥研究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*5.市民终身学习能力建设的路径、策略与保障机制研究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6.学习型社会建设背境下现代公共服务体系建设及政策保障机制研究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7.教育公共服务体系质量（服务标准、管理制度、</w:t>
      </w:r>
      <w:proofErr w:type="gramStart"/>
      <w:r>
        <w:rPr>
          <w:rFonts w:ascii="宋体" w:hAnsi="宋体" w:hint="eastAsia"/>
          <w:sz w:val="24"/>
          <w:szCs w:val="24"/>
        </w:rPr>
        <w:t>督评机制</w:t>
      </w:r>
      <w:proofErr w:type="gramEnd"/>
      <w:r>
        <w:rPr>
          <w:rFonts w:ascii="宋体" w:hAnsi="宋体" w:hint="eastAsia"/>
          <w:sz w:val="24"/>
          <w:szCs w:val="24"/>
        </w:rPr>
        <w:t>等）研究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8.国家学分银行、个人账号制度与平台建设研究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*9.学习成果认证制度与运行机制研究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10.开放大学创新发展研究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11.广播电视大学转型发展为全民学习服务研究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12.社区学院（中心）职能、地位作用与创新发展研究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13.新时期高校继续教育校外支持服务机构的治理策略与路径研究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14.终身学习理念下的普通高校教育教学改革与发展</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15.终身学习理念下的职业院校教育教学改革与发展</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16.终身学习理念下的中小学校教育改革与发展</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17.终身学习理念下的学前教育发展</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*18.终身学习理念下的老年教育研究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lastRenderedPageBreak/>
        <w:t>19.终身学习与就业、创业教育研究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20.终身学习与一流大学建设研究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21.终身学习视野下未来学校研究</w:t>
      </w:r>
    </w:p>
    <w:p w:rsidR="0085796D" w:rsidRDefault="0085796D" w:rsidP="0085796D">
      <w:pPr>
        <w:spacing w:line="360" w:lineRule="auto"/>
        <w:ind w:firstLineChars="200" w:firstLine="480"/>
        <w:rPr>
          <w:rFonts w:ascii="宋体" w:hAnsi="宋体"/>
          <w:sz w:val="24"/>
          <w:szCs w:val="24"/>
        </w:rPr>
      </w:pPr>
    </w:p>
    <w:p w:rsidR="0085796D" w:rsidRDefault="0085796D" w:rsidP="0085796D">
      <w:pPr>
        <w:spacing w:line="360" w:lineRule="auto"/>
        <w:ind w:firstLineChars="200" w:firstLine="482"/>
        <w:rPr>
          <w:rFonts w:ascii="宋体" w:hAnsi="宋体"/>
          <w:b/>
          <w:sz w:val="24"/>
          <w:szCs w:val="24"/>
        </w:rPr>
      </w:pPr>
      <w:r>
        <w:rPr>
          <w:rFonts w:ascii="宋体" w:hAnsi="宋体" w:hint="eastAsia"/>
          <w:b/>
          <w:sz w:val="24"/>
          <w:szCs w:val="24"/>
        </w:rPr>
        <w:t>五、终身学习基础理论研究（编号：18050101-18050799）</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1.学习学研究----基于终身学习</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2.学习脑科学研究----基于终身学习</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3.终身学习论研究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4.终身学习史研究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5.终身学习方法研究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6.终身学习文化研究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7.终身学习学科建设研究</w:t>
      </w:r>
    </w:p>
    <w:p w:rsidR="0085796D" w:rsidRDefault="0085796D" w:rsidP="0085796D">
      <w:pPr>
        <w:spacing w:line="360" w:lineRule="auto"/>
        <w:ind w:firstLineChars="200" w:firstLine="480"/>
        <w:rPr>
          <w:rFonts w:ascii="宋体" w:hAnsi="宋体"/>
          <w:sz w:val="24"/>
          <w:szCs w:val="24"/>
        </w:rPr>
      </w:pPr>
    </w:p>
    <w:p w:rsidR="0085796D" w:rsidRDefault="0085796D" w:rsidP="0085796D">
      <w:pPr>
        <w:spacing w:line="360" w:lineRule="auto"/>
        <w:ind w:firstLineChars="200" w:firstLine="482"/>
        <w:rPr>
          <w:rFonts w:ascii="宋体" w:hAnsi="宋体"/>
          <w:b/>
          <w:sz w:val="24"/>
          <w:szCs w:val="24"/>
        </w:rPr>
      </w:pPr>
      <w:r>
        <w:rPr>
          <w:rFonts w:ascii="宋体" w:hAnsi="宋体" w:hint="eastAsia"/>
          <w:b/>
          <w:sz w:val="24"/>
          <w:szCs w:val="24"/>
        </w:rPr>
        <w:t>六、比较教育研究（编号：18060101-18060899）</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1.中国终身学习服务体系竞争力研究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2.学习型城市建设比较研究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3.成人教育与继续教育比较研究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4.远程教育比较研究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5.员工学习与培训比较研究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6.国际社会终身教育实践创新研究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7.发达国家继续教育管理体制、主要模式、特色案例、发展趋势研究</w:t>
      </w:r>
    </w:p>
    <w:p w:rsidR="0085796D" w:rsidRDefault="0085796D" w:rsidP="0085796D">
      <w:pPr>
        <w:spacing w:line="360" w:lineRule="auto"/>
        <w:ind w:firstLineChars="200" w:firstLine="480"/>
        <w:rPr>
          <w:rFonts w:ascii="宋体" w:hAnsi="宋体"/>
          <w:b/>
          <w:sz w:val="24"/>
          <w:szCs w:val="24"/>
        </w:rPr>
      </w:pPr>
      <w:r>
        <w:rPr>
          <w:rFonts w:ascii="宋体" w:hAnsi="宋体" w:hint="eastAsia"/>
          <w:sz w:val="24"/>
          <w:szCs w:val="24"/>
        </w:rPr>
        <w:t>8.世界一流大学高等继续教育学历、非学历办学模式研究</w:t>
      </w:r>
    </w:p>
    <w:p w:rsidR="0085796D" w:rsidRDefault="0085796D" w:rsidP="0085796D">
      <w:pPr>
        <w:spacing w:line="360" w:lineRule="auto"/>
        <w:ind w:firstLineChars="200" w:firstLine="482"/>
        <w:rPr>
          <w:rFonts w:ascii="宋体" w:hAnsi="宋体"/>
          <w:b/>
          <w:sz w:val="24"/>
          <w:szCs w:val="24"/>
        </w:rPr>
      </w:pPr>
    </w:p>
    <w:p w:rsidR="0085796D" w:rsidRDefault="0085796D" w:rsidP="0085796D">
      <w:pPr>
        <w:spacing w:line="360" w:lineRule="auto"/>
        <w:ind w:firstLineChars="200" w:firstLine="482"/>
        <w:rPr>
          <w:rFonts w:ascii="宋体" w:hAnsi="宋体"/>
          <w:b/>
          <w:sz w:val="24"/>
          <w:szCs w:val="24"/>
        </w:rPr>
      </w:pPr>
      <w:r>
        <w:rPr>
          <w:rFonts w:ascii="宋体" w:hAnsi="宋体" w:hint="eastAsia"/>
          <w:b/>
          <w:sz w:val="24"/>
          <w:szCs w:val="24"/>
        </w:rPr>
        <w:t>七、决策咨询与实践创新研究（编号：18070101-18072499）</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1.新时代继续教育改革发展的形势与要求、定位与目标研究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2.我国终身教育体系和终身学习服务体制的关键问题、困难及障碍研究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3.“教育强国”战略下的中国终身教育国际影响力提升战略研究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4.“适合的教育”理念下中国教育生态重构研究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5.高质量继续教育的内涵、特征与标准研究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6.实现继续教育高质量发展的主要思路与战略举措研究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7.学校教育与社会教育融合的机制研究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lastRenderedPageBreak/>
        <w:t>8.农村终身学习场所及其资源供给体制研究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9.社区教育支撑人民美好生活需要的改革策略与发展路径研究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10.老年教育支撑人民美好生活需要的改革策略与发展路径研究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11.“供给侧改革”视角下的非学历继续教育发展动力与创新制度研究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12.中国弱势人群终身学习支撑体系与扶助机制研究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13.终身教育培训贡献“打赢脱贫攻坚战”的角色与策略研究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14.实现东西部继续教育协调发展的体制体制改革研究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15.教育服务乡村振兴战略的切入点与贡献点研究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16.服务个体终身发展的“关键能力”培养：课程与模式研究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17.继续教育产教融合与共同育人研究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18.劳动人口素质提升的体制机制</w:t>
      </w:r>
    </w:p>
    <w:p w:rsidR="0085796D" w:rsidRDefault="0085796D" w:rsidP="0085796D">
      <w:pPr>
        <w:spacing w:line="360" w:lineRule="auto"/>
        <w:ind w:firstLineChars="200" w:firstLine="480"/>
        <w:rPr>
          <w:rFonts w:ascii="宋体" w:hAnsi="宋体"/>
          <w:kern w:val="0"/>
          <w:sz w:val="24"/>
          <w:szCs w:val="24"/>
        </w:rPr>
      </w:pPr>
      <w:r>
        <w:rPr>
          <w:rFonts w:ascii="宋体" w:hAnsi="宋体" w:hint="eastAsia"/>
          <w:sz w:val="24"/>
          <w:szCs w:val="24"/>
        </w:rPr>
        <w:t>19.</w:t>
      </w:r>
      <w:r>
        <w:rPr>
          <w:rFonts w:ascii="宋体" w:hAnsi="宋体" w:hint="eastAsia"/>
          <w:kern w:val="0"/>
          <w:sz w:val="24"/>
          <w:szCs w:val="24"/>
        </w:rPr>
        <w:t>企业大学的体制机制研究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20.终身教育规划与实施骨干人员培训的课程开发与实施机制研究；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21.终身教育项目成效评价指标与机制研究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22.技能培训创新实践案例研究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23.</w:t>
      </w:r>
      <w:r>
        <w:rPr>
          <w:rFonts w:ascii="宋体" w:hAnsi="宋体" w:hint="eastAsia"/>
          <w:kern w:val="0"/>
          <w:sz w:val="24"/>
          <w:szCs w:val="24"/>
        </w:rPr>
        <w:t>全民终身学习与创新的促进机制研究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24.市民终身学习能力建设的路径、策略与保障机制研究---基于上海市的抽样调查分析</w:t>
      </w:r>
    </w:p>
    <w:p w:rsidR="0085796D" w:rsidRDefault="0085796D" w:rsidP="0085796D">
      <w:pPr>
        <w:spacing w:line="360" w:lineRule="auto"/>
        <w:ind w:firstLineChars="200" w:firstLine="480"/>
        <w:rPr>
          <w:rFonts w:ascii="宋体" w:hAnsi="宋体"/>
          <w:sz w:val="24"/>
          <w:szCs w:val="24"/>
        </w:rPr>
      </w:pPr>
    </w:p>
    <w:p w:rsidR="0085796D" w:rsidRDefault="0085796D" w:rsidP="0085796D">
      <w:pPr>
        <w:spacing w:line="360" w:lineRule="auto"/>
        <w:ind w:firstLineChars="200" w:firstLine="482"/>
        <w:rPr>
          <w:rFonts w:ascii="宋体" w:hAnsi="宋体"/>
          <w:b/>
          <w:sz w:val="24"/>
          <w:szCs w:val="24"/>
        </w:rPr>
      </w:pPr>
      <w:r>
        <w:rPr>
          <w:rFonts w:ascii="宋体" w:hAnsi="宋体" w:hint="eastAsia"/>
          <w:b/>
          <w:sz w:val="24"/>
          <w:szCs w:val="24"/>
        </w:rPr>
        <w:t>八、政策法规研究（编号：18080101-18080699）</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1.《终身学习促进法》立法研究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2.《社区教育促进条例》立法研究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3.《社区学院设置暂行条例》立法研究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4.国家或地区资历框架研究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5.终身学习指导师职业标准研究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6.构建中国特色终身学习服务体系的国家制度研究（经费投入机制，管理运行体制等）</w:t>
      </w:r>
    </w:p>
    <w:p w:rsidR="0085796D" w:rsidRDefault="0085796D" w:rsidP="0085796D">
      <w:pPr>
        <w:spacing w:line="360" w:lineRule="auto"/>
        <w:ind w:firstLineChars="200" w:firstLine="480"/>
        <w:rPr>
          <w:rFonts w:ascii="宋体" w:hAnsi="宋体"/>
          <w:sz w:val="24"/>
          <w:szCs w:val="24"/>
        </w:rPr>
      </w:pPr>
    </w:p>
    <w:p w:rsidR="0085796D" w:rsidRDefault="0085796D" w:rsidP="0085796D">
      <w:pPr>
        <w:spacing w:line="360" w:lineRule="auto"/>
        <w:ind w:firstLineChars="200" w:firstLine="482"/>
        <w:rPr>
          <w:rFonts w:ascii="宋体" w:hAnsi="宋体"/>
          <w:b/>
          <w:sz w:val="24"/>
          <w:szCs w:val="24"/>
        </w:rPr>
      </w:pPr>
      <w:r>
        <w:rPr>
          <w:rFonts w:ascii="宋体" w:hAnsi="宋体" w:hint="eastAsia"/>
          <w:b/>
          <w:sz w:val="24"/>
          <w:szCs w:val="24"/>
        </w:rPr>
        <w:t>九、终身学习与信息化（编号：18090101-18090699）</w:t>
      </w:r>
    </w:p>
    <w:p w:rsidR="0085796D" w:rsidRDefault="0085796D" w:rsidP="0085796D">
      <w:pPr>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信息化与智能化社会对终身学习影响的研究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互联网时代</w:t>
      </w:r>
      <w:r>
        <w:rPr>
          <w:rFonts w:ascii="宋体" w:hAnsi="宋体"/>
          <w:sz w:val="24"/>
          <w:szCs w:val="24"/>
        </w:rPr>
        <w:t>”</w:t>
      </w:r>
      <w:r>
        <w:rPr>
          <w:rFonts w:ascii="宋体" w:hAnsi="宋体" w:hint="eastAsia"/>
          <w:sz w:val="24"/>
          <w:szCs w:val="24"/>
        </w:rPr>
        <w:t>的学习型社会建设研究</w:t>
      </w:r>
    </w:p>
    <w:p w:rsidR="0085796D" w:rsidRDefault="0085796D" w:rsidP="0085796D">
      <w:pPr>
        <w:pStyle w:val="a6"/>
        <w:spacing w:line="360" w:lineRule="auto"/>
        <w:ind w:firstLine="480"/>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大数据人工智能在网络教育中应用</w:t>
      </w:r>
    </w:p>
    <w:p w:rsidR="0085796D" w:rsidRDefault="0085796D" w:rsidP="0085796D">
      <w:pPr>
        <w:spacing w:line="360" w:lineRule="auto"/>
        <w:ind w:firstLineChars="200" w:firstLine="480"/>
        <w:rPr>
          <w:rFonts w:ascii="宋体" w:hAnsi="宋体"/>
          <w:sz w:val="24"/>
          <w:szCs w:val="24"/>
        </w:rPr>
      </w:pPr>
      <w:r>
        <w:rPr>
          <w:rFonts w:ascii="宋体" w:hAnsi="宋体" w:hint="eastAsia"/>
          <w:kern w:val="0"/>
          <w:sz w:val="24"/>
          <w:szCs w:val="24"/>
        </w:rPr>
        <w:t>4</w:t>
      </w:r>
      <w:r>
        <w:rPr>
          <w:rFonts w:ascii="宋体" w:hAnsi="宋体"/>
          <w:sz w:val="24"/>
          <w:szCs w:val="24"/>
        </w:rPr>
        <w:t>.</w:t>
      </w:r>
      <w:r>
        <w:rPr>
          <w:rFonts w:ascii="宋体" w:hAnsi="宋体" w:hint="eastAsia"/>
          <w:kern w:val="0"/>
          <w:sz w:val="24"/>
          <w:szCs w:val="24"/>
        </w:rPr>
        <w:t>新形势</w:t>
      </w:r>
      <w:proofErr w:type="gramStart"/>
      <w:r>
        <w:rPr>
          <w:rFonts w:ascii="宋体" w:hAnsi="宋体" w:hint="eastAsia"/>
          <w:kern w:val="0"/>
          <w:sz w:val="24"/>
          <w:szCs w:val="24"/>
        </w:rPr>
        <w:t>下网络</w:t>
      </w:r>
      <w:proofErr w:type="gramEnd"/>
      <w:r>
        <w:rPr>
          <w:rFonts w:ascii="宋体" w:hAnsi="宋体" w:hint="eastAsia"/>
          <w:kern w:val="0"/>
          <w:sz w:val="24"/>
          <w:szCs w:val="24"/>
        </w:rPr>
        <w:t>教育的发展战略研究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lastRenderedPageBreak/>
        <w:t>5</w:t>
      </w:r>
      <w:r>
        <w:rPr>
          <w:rFonts w:ascii="宋体" w:hAnsi="宋体"/>
          <w:sz w:val="24"/>
          <w:szCs w:val="24"/>
        </w:rPr>
        <w:t>.</w:t>
      </w:r>
      <w:r>
        <w:rPr>
          <w:rFonts w:ascii="宋体" w:hAnsi="宋体" w:hint="eastAsia"/>
          <w:sz w:val="24"/>
          <w:szCs w:val="24"/>
        </w:rPr>
        <w:t>基于人工智能的全民智能化网络学习系统的关键技术与机制设计研究</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6</w:t>
      </w:r>
      <w:r>
        <w:rPr>
          <w:rFonts w:ascii="宋体" w:hAnsi="宋体"/>
          <w:sz w:val="24"/>
          <w:szCs w:val="24"/>
        </w:rPr>
        <w:t>.</w:t>
      </w:r>
      <w:r>
        <w:rPr>
          <w:rFonts w:ascii="宋体" w:hAnsi="宋体" w:hint="eastAsia"/>
          <w:sz w:val="24"/>
          <w:szCs w:val="24"/>
        </w:rPr>
        <w:t>基于大数据的“定制化学习”智能导学助手设计与研发</w:t>
      </w:r>
    </w:p>
    <w:p w:rsidR="0085796D" w:rsidRDefault="0085796D" w:rsidP="0085796D">
      <w:pPr>
        <w:spacing w:line="360" w:lineRule="auto"/>
        <w:ind w:firstLineChars="200" w:firstLine="480"/>
        <w:rPr>
          <w:rFonts w:ascii="宋体" w:hAnsi="宋体"/>
          <w:sz w:val="24"/>
          <w:szCs w:val="24"/>
        </w:rPr>
      </w:pPr>
    </w:p>
    <w:p w:rsidR="0085796D" w:rsidRDefault="0085796D" w:rsidP="0085796D">
      <w:pPr>
        <w:spacing w:line="360" w:lineRule="auto"/>
        <w:ind w:firstLineChars="200" w:firstLine="482"/>
        <w:rPr>
          <w:rFonts w:ascii="宋体" w:hAnsi="宋体"/>
          <w:b/>
          <w:sz w:val="24"/>
          <w:szCs w:val="24"/>
        </w:rPr>
      </w:pPr>
      <w:r>
        <w:rPr>
          <w:rFonts w:ascii="宋体" w:hAnsi="宋体" w:hint="eastAsia"/>
          <w:b/>
          <w:sz w:val="24"/>
          <w:szCs w:val="24"/>
        </w:rPr>
        <w:t>十、其他（编号：18100001-18100X99）</w:t>
      </w:r>
    </w:p>
    <w:p w:rsidR="0085796D" w:rsidRDefault="0085796D" w:rsidP="0085796D">
      <w:pPr>
        <w:spacing w:line="360" w:lineRule="auto"/>
        <w:ind w:firstLineChars="200" w:firstLine="480"/>
        <w:rPr>
          <w:rFonts w:ascii="宋体" w:hAnsi="宋体"/>
          <w:sz w:val="24"/>
          <w:szCs w:val="24"/>
        </w:rPr>
      </w:pPr>
      <w:r>
        <w:rPr>
          <w:rFonts w:ascii="宋体" w:hAnsi="宋体" w:hint="eastAsia"/>
          <w:sz w:val="24"/>
          <w:szCs w:val="24"/>
        </w:rPr>
        <w:t>为鼓励创新，允许申报者可以结合以上精神，在以上九类课题之外自拟申报课题。此类申报课题一经批准立项，待遇同于以上九类课题。</w:t>
      </w:r>
    </w:p>
    <w:p w:rsidR="0085796D" w:rsidRDefault="0085796D" w:rsidP="0085796D">
      <w:pPr>
        <w:spacing w:line="360" w:lineRule="auto"/>
        <w:rPr>
          <w:rFonts w:ascii="仿宋" w:eastAsia="仿宋" w:hAnsi="仿宋"/>
          <w:sz w:val="24"/>
          <w:szCs w:val="24"/>
        </w:rPr>
      </w:pPr>
    </w:p>
    <w:p w:rsidR="0085796D" w:rsidRDefault="0085796D" w:rsidP="0085796D">
      <w:pPr>
        <w:spacing w:line="360" w:lineRule="auto"/>
        <w:rPr>
          <w:rFonts w:ascii="仿宋" w:eastAsia="仿宋" w:hAnsi="仿宋"/>
          <w:sz w:val="24"/>
          <w:szCs w:val="24"/>
        </w:rPr>
      </w:pPr>
      <w:r>
        <w:rPr>
          <w:rFonts w:ascii="仿宋" w:eastAsia="仿宋" w:hAnsi="仿宋" w:hint="eastAsia"/>
          <w:sz w:val="24"/>
          <w:szCs w:val="24"/>
        </w:rPr>
        <w:t>注：指南中带*的课题是已向中国教育发展战略学会（总会）申报的课题。</w:t>
      </w:r>
    </w:p>
    <w:p w:rsidR="0085796D" w:rsidRDefault="0085796D" w:rsidP="0085796D">
      <w:pPr>
        <w:spacing w:line="360" w:lineRule="auto"/>
        <w:ind w:firstLineChars="200" w:firstLine="480"/>
        <w:rPr>
          <w:rFonts w:ascii="宋体" w:hAnsi="宋体"/>
          <w:sz w:val="24"/>
          <w:szCs w:val="24"/>
        </w:rPr>
      </w:pPr>
    </w:p>
    <w:p w:rsidR="0085796D" w:rsidRDefault="0085796D" w:rsidP="0085796D">
      <w:pPr>
        <w:rPr>
          <w:rFonts w:ascii="宋体" w:hAnsi="宋体"/>
          <w:sz w:val="24"/>
          <w:szCs w:val="24"/>
        </w:rPr>
      </w:pPr>
      <w:bookmarkStart w:id="0" w:name="_GoBack"/>
      <w:bookmarkEnd w:id="0"/>
    </w:p>
    <w:sectPr w:rsidR="0085796D" w:rsidSect="00604861">
      <w:footerReference w:type="even" r:id="rId6"/>
      <w:footerReference w:type="default" r:id="rId7"/>
      <w:pgSz w:w="11907" w:h="16840"/>
      <w:pgMar w:top="1077" w:right="777" w:bottom="1191" w:left="902" w:header="1021" w:footer="851"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E4E" w:rsidRDefault="00836E4E" w:rsidP="0085796D">
      <w:r>
        <w:separator/>
      </w:r>
    </w:p>
  </w:endnote>
  <w:endnote w:type="continuationSeparator" w:id="0">
    <w:p w:rsidR="00836E4E" w:rsidRDefault="00836E4E" w:rsidP="008579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F5" w:rsidRDefault="008C3F50">
    <w:pPr>
      <w:pStyle w:val="a4"/>
      <w:framePr w:wrap="around" w:vAnchor="text" w:hAnchor="margin" w:xAlign="right" w:y="1"/>
      <w:rPr>
        <w:rStyle w:val="a5"/>
      </w:rPr>
    </w:pPr>
    <w:r>
      <w:fldChar w:fldCharType="begin"/>
    </w:r>
    <w:r w:rsidR="00543EE9">
      <w:rPr>
        <w:rStyle w:val="a5"/>
      </w:rPr>
      <w:instrText xml:space="preserve">PAGE  </w:instrText>
    </w:r>
    <w:r>
      <w:fldChar w:fldCharType="end"/>
    </w:r>
  </w:p>
  <w:p w:rsidR="006029F5" w:rsidRDefault="0054796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535266"/>
      <w:docPartObj>
        <w:docPartGallery w:val="Page Numbers (Bottom of Page)"/>
        <w:docPartUnique/>
      </w:docPartObj>
    </w:sdtPr>
    <w:sdtContent>
      <w:p w:rsidR="00D362BA" w:rsidRDefault="008C3F50">
        <w:pPr>
          <w:pStyle w:val="a4"/>
          <w:jc w:val="center"/>
        </w:pPr>
        <w:fldSimple w:instr=" PAGE   \* MERGEFORMAT ">
          <w:r w:rsidR="00547961" w:rsidRPr="00547961">
            <w:rPr>
              <w:noProof/>
              <w:lang w:val="zh-CN"/>
            </w:rPr>
            <w:t>5</w:t>
          </w:r>
        </w:fldSimple>
      </w:p>
    </w:sdtContent>
  </w:sdt>
  <w:p w:rsidR="00D362BA" w:rsidRDefault="00D362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E4E" w:rsidRDefault="00836E4E" w:rsidP="0085796D">
      <w:r>
        <w:separator/>
      </w:r>
    </w:p>
  </w:footnote>
  <w:footnote w:type="continuationSeparator" w:id="0">
    <w:p w:rsidR="00836E4E" w:rsidRDefault="00836E4E" w:rsidP="008579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796D"/>
    <w:rsid w:val="000457A6"/>
    <w:rsid w:val="003B1E8C"/>
    <w:rsid w:val="00543EE9"/>
    <w:rsid w:val="00547961"/>
    <w:rsid w:val="00604861"/>
    <w:rsid w:val="00836E4E"/>
    <w:rsid w:val="0085796D"/>
    <w:rsid w:val="008C3F50"/>
    <w:rsid w:val="00D362BA"/>
    <w:rsid w:val="00E533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96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79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5796D"/>
    <w:rPr>
      <w:sz w:val="18"/>
      <w:szCs w:val="18"/>
    </w:rPr>
  </w:style>
  <w:style w:type="paragraph" w:styleId="a4">
    <w:name w:val="footer"/>
    <w:basedOn w:val="a"/>
    <w:link w:val="Char0"/>
    <w:uiPriority w:val="99"/>
    <w:unhideWhenUsed/>
    <w:rsid w:val="008579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796D"/>
    <w:rPr>
      <w:sz w:val="18"/>
      <w:szCs w:val="18"/>
    </w:rPr>
  </w:style>
  <w:style w:type="character" w:styleId="a5">
    <w:name w:val="page number"/>
    <w:basedOn w:val="a0"/>
    <w:rsid w:val="0085796D"/>
  </w:style>
  <w:style w:type="paragraph" w:styleId="a6">
    <w:name w:val="List Paragraph"/>
    <w:basedOn w:val="a"/>
    <w:uiPriority w:val="34"/>
    <w:qFormat/>
    <w:rsid w:val="0085796D"/>
    <w:pPr>
      <w:ind w:firstLineChars="200" w:firstLine="420"/>
    </w:pPr>
    <w:rPr>
      <w:rFonts w:ascii="Calibri" w:hAnsi="Calibri" w:cs="宋体"/>
      <w:szCs w:val="22"/>
    </w:rPr>
  </w:style>
  <w:style w:type="character" w:customStyle="1" w:styleId="fontstyle01">
    <w:name w:val="fontstyle01"/>
    <w:basedOn w:val="a0"/>
    <w:rsid w:val="00547961"/>
    <w:rPr>
      <w:rFonts w:ascii="Helvetica" w:hAnsi="Helvetica" w:hint="default"/>
      <w:b w:val="0"/>
      <w:bCs w:val="0"/>
      <w:i w:val="0"/>
      <w:iCs w:val="0"/>
      <w:color w:val="000000"/>
      <w:sz w:val="40"/>
      <w:szCs w:val="4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ysy</cp:lastModifiedBy>
  <cp:revision>3</cp:revision>
  <dcterms:created xsi:type="dcterms:W3CDTF">2018-02-13T04:25:00Z</dcterms:created>
  <dcterms:modified xsi:type="dcterms:W3CDTF">2018-02-13T05:22:00Z</dcterms:modified>
</cp:coreProperties>
</file>