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78DF" w:rsidRDefault="00CA3D74">
      <w:pPr>
        <w:rPr>
          <w:rFonts w:ascii="仿宋" w:eastAsia="仿宋" w:hAnsi="仿宋"/>
          <w:sz w:val="28"/>
        </w:rPr>
      </w:pPr>
      <w:r>
        <w:rPr>
          <w:rFonts w:ascii="仿宋" w:eastAsia="仿宋" w:hAnsi="仿宋" w:hint="eastAsia"/>
          <w:sz w:val="28"/>
        </w:rPr>
        <w:t>附件</w:t>
      </w:r>
      <w:r w:rsidR="00E3691C">
        <w:rPr>
          <w:rFonts w:ascii="仿宋" w:eastAsia="仿宋" w:hAnsi="仿宋" w:hint="eastAsia"/>
          <w:sz w:val="28"/>
        </w:rPr>
        <w:t>4</w:t>
      </w:r>
      <w:bookmarkStart w:id="0" w:name="_GoBack"/>
      <w:bookmarkEnd w:id="0"/>
      <w:r>
        <w:rPr>
          <w:rFonts w:ascii="仿宋" w:eastAsia="仿宋" w:hAnsi="仿宋"/>
          <w:sz w:val="28"/>
        </w:rPr>
        <w:t>：</w:t>
      </w:r>
    </w:p>
    <w:p w:rsidR="007A78DF" w:rsidRDefault="00CA3D74">
      <w:pPr>
        <w:spacing w:beforeLines="100" w:before="312" w:afterLines="100" w:after="312"/>
        <w:jc w:val="center"/>
        <w:rPr>
          <w:rFonts w:asciiTheme="minorEastAsia" w:hAnsiTheme="minorEastAsia"/>
          <w:b/>
          <w:bCs/>
          <w:sz w:val="32"/>
          <w:szCs w:val="32"/>
        </w:rPr>
      </w:pPr>
      <w:r>
        <w:rPr>
          <w:rFonts w:asciiTheme="minorEastAsia" w:hAnsiTheme="minorEastAsia" w:hint="eastAsia"/>
          <w:b/>
          <w:bCs/>
          <w:sz w:val="32"/>
          <w:szCs w:val="32"/>
        </w:rPr>
        <w:t>XX学院学科专业课程一体化建设实施方案（空白模板）</w:t>
      </w:r>
    </w:p>
    <w:p w:rsidR="007A78DF" w:rsidRDefault="007A78DF">
      <w:pPr>
        <w:jc w:val="left"/>
        <w:rPr>
          <w:b/>
          <w:sz w:val="24"/>
        </w:rPr>
      </w:pPr>
    </w:p>
    <w:p w:rsidR="007A78DF" w:rsidRDefault="00CA3D74">
      <w:pPr>
        <w:spacing w:line="360" w:lineRule="auto"/>
        <w:ind w:firstLineChars="200" w:firstLine="480"/>
        <w:rPr>
          <w:rFonts w:ascii="Times New Roman" w:hAnsi="Times New Roman" w:cs="Times New Roman"/>
          <w:sz w:val="24"/>
          <w:szCs w:val="24"/>
        </w:rPr>
      </w:pPr>
      <w:r>
        <w:rPr>
          <w:rFonts w:ascii="Times New Roman" w:hAnsi="宋体" w:cs="宋体" w:hint="eastAsia"/>
          <w:sz w:val="24"/>
          <w:szCs w:val="24"/>
        </w:rPr>
        <w:t>编制《</w:t>
      </w:r>
      <w:r>
        <w:rPr>
          <w:rFonts w:ascii="Times New Roman" w:hAnsi="宋体" w:cs="宋体" w:hint="eastAsia"/>
          <w:sz w:val="24"/>
          <w:szCs w:val="24"/>
        </w:rPr>
        <w:t>XX</w:t>
      </w:r>
      <w:r>
        <w:rPr>
          <w:rFonts w:ascii="Times New Roman" w:hAnsi="宋体" w:cs="宋体" w:hint="eastAsia"/>
          <w:sz w:val="24"/>
          <w:szCs w:val="24"/>
        </w:rPr>
        <w:t>学院</w:t>
      </w:r>
      <w:r>
        <w:rPr>
          <w:rFonts w:ascii="Times New Roman" w:hAnsi="Times New Roman" w:cs="Times New Roman" w:hint="eastAsia"/>
          <w:sz w:val="24"/>
          <w:szCs w:val="24"/>
        </w:rPr>
        <w:t>学科专业课程一体化建设实施方案</w:t>
      </w:r>
      <w:r>
        <w:rPr>
          <w:rFonts w:ascii="Times New Roman" w:hAnsi="宋体" w:cs="宋体" w:hint="eastAsia"/>
          <w:sz w:val="24"/>
          <w:szCs w:val="24"/>
        </w:rPr>
        <w:t>》的目的、主要依据。</w:t>
      </w:r>
    </w:p>
    <w:p w:rsidR="007A78DF" w:rsidRDefault="007A78DF">
      <w:pPr>
        <w:jc w:val="left"/>
        <w:rPr>
          <w:b/>
          <w:sz w:val="24"/>
          <w:szCs w:val="24"/>
        </w:rPr>
      </w:pPr>
    </w:p>
    <w:p w:rsidR="007A78DF" w:rsidRDefault="00CA3D74">
      <w:pPr>
        <w:jc w:val="left"/>
        <w:rPr>
          <w:rFonts w:asciiTheme="minorEastAsia" w:hAnsiTheme="minorEastAsia"/>
          <w:b/>
          <w:sz w:val="28"/>
          <w:szCs w:val="24"/>
        </w:rPr>
      </w:pPr>
      <w:r>
        <w:rPr>
          <w:rFonts w:asciiTheme="minorEastAsia" w:hAnsiTheme="minorEastAsia" w:hint="eastAsia"/>
          <w:b/>
          <w:sz w:val="28"/>
          <w:szCs w:val="24"/>
        </w:rPr>
        <w:t>一、指导思想</w:t>
      </w:r>
    </w:p>
    <w:p w:rsidR="007A78DF" w:rsidRDefault="00CA3D74">
      <w:pPr>
        <w:spacing w:line="360" w:lineRule="auto"/>
        <w:ind w:firstLineChars="200" w:firstLine="480"/>
        <w:rPr>
          <w:rFonts w:ascii="Times New Roman" w:hAnsi="Times New Roman" w:cs="Times New Roman"/>
          <w:sz w:val="24"/>
          <w:szCs w:val="24"/>
        </w:rPr>
      </w:pPr>
      <w:r>
        <w:rPr>
          <w:rFonts w:ascii="Times New Roman" w:hAnsi="宋体" w:cs="宋体" w:hint="eastAsia"/>
          <w:sz w:val="24"/>
          <w:szCs w:val="24"/>
        </w:rPr>
        <w:t>遵循学科、专业和课程建设的基本规律，依据</w:t>
      </w:r>
      <w:r>
        <w:rPr>
          <w:rFonts w:ascii="宋体" w:hAnsi="宋体" w:cs="宋体" w:hint="eastAsia"/>
          <w:sz w:val="24"/>
          <w:szCs w:val="24"/>
        </w:rPr>
        <w:t>2019年学校第二次党代会</w:t>
      </w:r>
      <w:r>
        <w:rPr>
          <w:rFonts w:ascii="Times New Roman" w:hAnsi="宋体" w:cs="宋体" w:hint="eastAsia"/>
          <w:sz w:val="24"/>
          <w:szCs w:val="24"/>
        </w:rPr>
        <w:t>报告的核心精神，以及《江苏开放大学“十四五”事业发展规划》、《“十四五”学科专业发展规划》提出的具体发展指标，</w:t>
      </w:r>
      <w:r>
        <w:rPr>
          <w:rFonts w:ascii="Times New Roman" w:hAnsi="Times New Roman" w:cs="宋体" w:hint="eastAsia"/>
          <w:sz w:val="24"/>
          <w:szCs w:val="24"/>
        </w:rPr>
        <w:t>确定思路</w:t>
      </w:r>
      <w:r>
        <w:rPr>
          <w:rFonts w:ascii="Times New Roman" w:hAnsi="宋体" w:cs="宋体" w:hint="eastAsia"/>
          <w:sz w:val="24"/>
          <w:szCs w:val="24"/>
        </w:rPr>
        <w:t>。</w:t>
      </w:r>
    </w:p>
    <w:p w:rsidR="007A78DF" w:rsidRDefault="007A78DF">
      <w:pPr>
        <w:jc w:val="left"/>
        <w:rPr>
          <w:b/>
          <w:sz w:val="24"/>
          <w:szCs w:val="24"/>
        </w:rPr>
      </w:pPr>
    </w:p>
    <w:p w:rsidR="007A78DF" w:rsidRDefault="00CA3D74">
      <w:pPr>
        <w:jc w:val="left"/>
        <w:rPr>
          <w:rFonts w:asciiTheme="minorEastAsia" w:hAnsiTheme="minorEastAsia"/>
          <w:b/>
          <w:sz w:val="28"/>
          <w:szCs w:val="24"/>
        </w:rPr>
      </w:pPr>
      <w:r>
        <w:rPr>
          <w:rFonts w:asciiTheme="minorEastAsia" w:hAnsiTheme="minorEastAsia" w:hint="eastAsia"/>
          <w:b/>
          <w:sz w:val="28"/>
          <w:szCs w:val="24"/>
        </w:rPr>
        <w:t>二、总目标</w:t>
      </w:r>
    </w:p>
    <w:p w:rsidR="007A78DF" w:rsidRDefault="00CA3D74">
      <w:pPr>
        <w:spacing w:line="360" w:lineRule="auto"/>
        <w:ind w:firstLineChars="200" w:firstLine="480"/>
        <w:rPr>
          <w:rFonts w:ascii="Times New Roman" w:hAnsi="宋体" w:cs="宋体"/>
          <w:sz w:val="24"/>
          <w:szCs w:val="24"/>
        </w:rPr>
      </w:pPr>
      <w:r>
        <w:rPr>
          <w:rFonts w:ascii="Times New Roman" w:hAnsi="宋体" w:cs="宋体" w:hint="eastAsia"/>
          <w:sz w:val="24"/>
          <w:szCs w:val="24"/>
        </w:rPr>
        <w:t>用</w:t>
      </w:r>
      <w:r>
        <w:rPr>
          <w:rFonts w:ascii="Times New Roman" w:hAnsi="宋体" w:cs="宋体" w:hint="eastAsia"/>
          <w:sz w:val="24"/>
          <w:szCs w:val="24"/>
        </w:rPr>
        <w:t>1~2</w:t>
      </w:r>
      <w:r>
        <w:rPr>
          <w:rFonts w:ascii="Times New Roman" w:hAnsi="宋体" w:cs="宋体" w:hint="eastAsia"/>
          <w:sz w:val="24"/>
          <w:szCs w:val="24"/>
        </w:rPr>
        <w:t>段话概况本学院拟形成的学科专业课程一体化建设路径，明确规划培育的一级学科，该一级学科下重点扶持的</w:t>
      </w:r>
      <w:r>
        <w:rPr>
          <w:rFonts w:ascii="Times New Roman" w:hAnsi="宋体" w:cs="宋体" w:hint="eastAsia"/>
          <w:sz w:val="24"/>
          <w:szCs w:val="24"/>
        </w:rPr>
        <w:t>2-3</w:t>
      </w:r>
      <w:r>
        <w:rPr>
          <w:rFonts w:ascii="Times New Roman" w:hAnsi="宋体" w:cs="宋体" w:hint="eastAsia"/>
          <w:sz w:val="24"/>
          <w:szCs w:val="24"/>
        </w:rPr>
        <w:t>个二级学科，二级学科下布局的</w:t>
      </w:r>
      <w:r>
        <w:rPr>
          <w:rFonts w:ascii="Times New Roman" w:hAnsi="宋体" w:cs="宋体" w:hint="eastAsia"/>
          <w:sz w:val="24"/>
          <w:szCs w:val="24"/>
        </w:rPr>
        <w:t>2-3</w:t>
      </w:r>
      <w:r>
        <w:rPr>
          <w:rFonts w:ascii="Times New Roman" w:hAnsi="宋体" w:cs="宋体" w:hint="eastAsia"/>
          <w:sz w:val="24"/>
          <w:szCs w:val="24"/>
        </w:rPr>
        <w:t>个主干专业、优势专业、特色专业，拟建设的</w:t>
      </w:r>
      <w:r>
        <w:rPr>
          <w:rFonts w:ascii="Times New Roman" w:hAnsi="宋体" w:cs="宋体" w:hint="eastAsia"/>
          <w:sz w:val="24"/>
          <w:szCs w:val="24"/>
        </w:rPr>
        <w:t>2-3</w:t>
      </w:r>
      <w:r>
        <w:rPr>
          <w:rFonts w:ascii="Times New Roman" w:hAnsi="宋体" w:cs="宋体" w:hint="eastAsia"/>
          <w:sz w:val="24"/>
          <w:szCs w:val="24"/>
        </w:rPr>
        <w:t>门优质课程。</w:t>
      </w:r>
    </w:p>
    <w:p w:rsidR="007A78DF" w:rsidRDefault="00CA3D74">
      <w:pPr>
        <w:spacing w:line="360" w:lineRule="auto"/>
        <w:ind w:firstLineChars="200" w:firstLine="480"/>
        <w:rPr>
          <w:rFonts w:ascii="Times New Roman" w:hAnsi="宋体" w:cs="宋体"/>
          <w:sz w:val="24"/>
          <w:szCs w:val="24"/>
        </w:rPr>
      </w:pPr>
      <w:r>
        <w:rPr>
          <w:rFonts w:ascii="Times New Roman" w:hAnsi="宋体" w:cs="宋体" w:hint="eastAsia"/>
          <w:sz w:val="24"/>
          <w:szCs w:val="24"/>
        </w:rPr>
        <w:t>要求既有体现导向性的定性目标，又有可以量化、测评的定量目标。</w:t>
      </w:r>
    </w:p>
    <w:p w:rsidR="007A78DF" w:rsidRDefault="007A78DF">
      <w:pPr>
        <w:jc w:val="left"/>
        <w:rPr>
          <w:rFonts w:asciiTheme="minorEastAsia" w:hAnsiTheme="minorEastAsia"/>
          <w:b/>
          <w:sz w:val="24"/>
          <w:szCs w:val="24"/>
        </w:rPr>
      </w:pPr>
    </w:p>
    <w:p w:rsidR="007A78DF" w:rsidRDefault="00CA3D74">
      <w:pPr>
        <w:jc w:val="left"/>
        <w:rPr>
          <w:rFonts w:asciiTheme="minorEastAsia" w:hAnsiTheme="minorEastAsia"/>
          <w:b/>
          <w:sz w:val="28"/>
          <w:szCs w:val="24"/>
        </w:rPr>
      </w:pPr>
      <w:r>
        <w:rPr>
          <w:rFonts w:asciiTheme="minorEastAsia" w:hAnsiTheme="minorEastAsia" w:hint="eastAsia"/>
          <w:b/>
          <w:sz w:val="28"/>
          <w:szCs w:val="24"/>
        </w:rPr>
        <w:t>三、分项目标与建设措施</w:t>
      </w:r>
    </w:p>
    <w:p w:rsidR="007A78DF" w:rsidRDefault="00CA3D74">
      <w:pPr>
        <w:jc w:val="left"/>
        <w:rPr>
          <w:rFonts w:asciiTheme="minorEastAsia" w:hAnsiTheme="minorEastAsia"/>
          <w:b/>
          <w:sz w:val="28"/>
          <w:szCs w:val="24"/>
        </w:rPr>
      </w:pPr>
      <w:r>
        <w:rPr>
          <w:rFonts w:asciiTheme="minorEastAsia" w:hAnsiTheme="minorEastAsia" w:hint="eastAsia"/>
          <w:b/>
          <w:sz w:val="28"/>
          <w:szCs w:val="24"/>
        </w:rPr>
        <w:t>（一）树立一体化建设理念</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用一段话阐述本学院遵循的学科专业课程一体化建设思路，围绕该思路全院教职工拟形成的一体化建设理念。</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jc w:val="left"/>
        <w:rPr>
          <w:rFonts w:asciiTheme="minorEastAsia" w:hAnsiTheme="minorEastAsia"/>
          <w:sz w:val="24"/>
          <w:szCs w:val="24"/>
        </w:rPr>
      </w:pPr>
      <w:r>
        <w:rPr>
          <w:rFonts w:asciiTheme="minorEastAsia" w:hAnsiTheme="minorEastAsia" w:hint="eastAsia"/>
          <w:b/>
          <w:sz w:val="28"/>
          <w:szCs w:val="24"/>
        </w:rPr>
        <w:t xml:space="preserve">    </w:t>
      </w:r>
      <w:r>
        <w:rPr>
          <w:rFonts w:asciiTheme="minorEastAsia" w:hAnsiTheme="minorEastAsia" w:hint="eastAsia"/>
          <w:sz w:val="24"/>
          <w:szCs w:val="24"/>
        </w:rPr>
        <w:t>梳理本学院现有学科、专业、课程建设思路的基础上，依据上述目标阐述召开一体化建设培训会、开展一体化建设研讨活动等建设举措。</w:t>
      </w:r>
    </w:p>
    <w:p w:rsidR="007A78DF" w:rsidRDefault="00CA3D74">
      <w:pPr>
        <w:spacing w:line="360" w:lineRule="auto"/>
        <w:jc w:val="left"/>
        <w:rPr>
          <w:rFonts w:asciiTheme="minorEastAsia" w:hAnsiTheme="minorEastAsia"/>
          <w:b/>
          <w:sz w:val="28"/>
          <w:szCs w:val="24"/>
        </w:rPr>
      </w:pPr>
      <w:r>
        <w:rPr>
          <w:rFonts w:asciiTheme="minorEastAsia" w:hAnsiTheme="minorEastAsia" w:hint="eastAsia"/>
          <w:b/>
          <w:sz w:val="28"/>
          <w:szCs w:val="24"/>
        </w:rPr>
        <w:t>（二）组建一体化教师团队</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jc w:val="left"/>
        <w:rPr>
          <w:rFonts w:asciiTheme="minorEastAsia" w:hAnsiTheme="minorEastAsia"/>
          <w:sz w:val="24"/>
          <w:szCs w:val="24"/>
        </w:rPr>
      </w:pPr>
      <w:r>
        <w:rPr>
          <w:rFonts w:asciiTheme="minorEastAsia" w:hAnsiTheme="minorEastAsia" w:hint="eastAsia"/>
          <w:sz w:val="24"/>
          <w:szCs w:val="24"/>
        </w:rPr>
        <w:t xml:space="preserve">    用一段话阐述本学院依据不同学科背景拟组建的教师团队的数量，每个学科</w:t>
      </w:r>
      <w:r>
        <w:rPr>
          <w:rFonts w:asciiTheme="minorEastAsia" w:hAnsiTheme="minorEastAsia" w:hint="eastAsia"/>
          <w:sz w:val="24"/>
          <w:szCs w:val="24"/>
        </w:rPr>
        <w:lastRenderedPageBreak/>
        <w:t>背景下团队成员的数量与结构，担任相应学科带头人、相应专业和课程负责人的情况。</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梳理本学院现有教师的数量与结构、学科背景、专兼职教师的比例的基础上，依据上述目标阐述校内教师培育计划、校外教师引进计划、教师团队工作机制优化等建设举措。</w:t>
      </w:r>
    </w:p>
    <w:p w:rsidR="007A78DF" w:rsidRDefault="00CA3D74">
      <w:pPr>
        <w:jc w:val="left"/>
        <w:rPr>
          <w:rFonts w:asciiTheme="minorEastAsia" w:hAnsiTheme="minorEastAsia"/>
          <w:b/>
          <w:sz w:val="28"/>
          <w:szCs w:val="24"/>
        </w:rPr>
      </w:pPr>
      <w:r>
        <w:rPr>
          <w:rFonts w:asciiTheme="minorEastAsia" w:hAnsiTheme="minorEastAsia" w:hint="eastAsia"/>
          <w:b/>
          <w:sz w:val="28"/>
          <w:szCs w:val="24"/>
        </w:rPr>
        <w:t>（三）开展一体化科学研究</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用一段话阐述本学院拟重点聚焦的研究方向的数量和名称，该研究方向成果应用于课程建设的程度，以及该研究方向成果服务于专业建设的情况。</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在梳理本学院现有科学研究成果数量和主要聚焦的学科方向的基础上，依据上述目标阐述围绕规划培育的学科，确定科学研究主攻方向，构建科学研究成果应用于专业建设和课程建设的转换机制等建设举措。</w:t>
      </w:r>
    </w:p>
    <w:p w:rsidR="007A78DF" w:rsidRDefault="00CA3D74">
      <w:pPr>
        <w:spacing w:line="360" w:lineRule="auto"/>
        <w:jc w:val="left"/>
        <w:rPr>
          <w:rFonts w:asciiTheme="minorEastAsia" w:hAnsiTheme="minorEastAsia"/>
          <w:b/>
          <w:sz w:val="28"/>
          <w:szCs w:val="24"/>
        </w:rPr>
      </w:pPr>
      <w:r>
        <w:rPr>
          <w:rFonts w:asciiTheme="minorEastAsia" w:hAnsiTheme="minorEastAsia" w:hint="eastAsia"/>
          <w:b/>
          <w:sz w:val="28"/>
          <w:szCs w:val="24"/>
        </w:rPr>
        <w:t>（四）构建一体化实践平台</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用一段话阐述本学院拟建成的一体化实践平台在科学研究、人才培养方面的共享情况，以及对学科发展、应用型人才培养的支撑程度。</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梳理本学院现有的科学研究平台和教学实践平台运行情况的基础上，依据上述目标具体阐述一体化实践平台的构建、科研思维和态度迁移于专业学习、科研资源与实践教学资源共享等建设举措。</w:t>
      </w:r>
    </w:p>
    <w:p w:rsidR="007A78DF" w:rsidRDefault="00CA3D74">
      <w:pPr>
        <w:jc w:val="left"/>
        <w:rPr>
          <w:rFonts w:asciiTheme="minorEastAsia" w:hAnsiTheme="minorEastAsia"/>
          <w:b/>
          <w:sz w:val="28"/>
          <w:szCs w:val="24"/>
        </w:rPr>
      </w:pPr>
      <w:r>
        <w:rPr>
          <w:rFonts w:asciiTheme="minorEastAsia" w:hAnsiTheme="minorEastAsia" w:hint="eastAsia"/>
          <w:b/>
          <w:sz w:val="28"/>
          <w:szCs w:val="24"/>
        </w:rPr>
        <w:t>（五）完善一体化保障制度</w:t>
      </w:r>
    </w:p>
    <w:p w:rsidR="007A78DF" w:rsidRDefault="00CA3D74">
      <w:pPr>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用一段话阐述本学院拟建成的不同学科的基层教学组织间的沟通协调机制，一体化发展规划、建设目标、建设标准、激励机制等配套保障制度建设、运行情况。</w:t>
      </w:r>
    </w:p>
    <w:p w:rsidR="007A78DF" w:rsidRDefault="00CA3D74">
      <w:pPr>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梳理本学院现有的学科建设、专业建设、课程建设保障制度的基础上，依据</w:t>
      </w:r>
      <w:r>
        <w:rPr>
          <w:rFonts w:asciiTheme="minorEastAsia" w:hAnsiTheme="minorEastAsia" w:hint="eastAsia"/>
          <w:sz w:val="24"/>
          <w:szCs w:val="24"/>
        </w:rPr>
        <w:lastRenderedPageBreak/>
        <w:t>上述目标具体阐述打破不同学科的基层教学组织间的壁垒、形成一体化发展规划、建设目标、建设标准、激励机制等建设举措。</w:t>
      </w:r>
    </w:p>
    <w:p w:rsidR="007A78DF" w:rsidRDefault="00CA3D74">
      <w:pPr>
        <w:jc w:val="left"/>
        <w:rPr>
          <w:rFonts w:asciiTheme="minorEastAsia" w:hAnsiTheme="minorEastAsia"/>
          <w:b/>
          <w:sz w:val="28"/>
          <w:szCs w:val="24"/>
        </w:rPr>
      </w:pPr>
      <w:r>
        <w:rPr>
          <w:rFonts w:asciiTheme="minorEastAsia" w:hAnsiTheme="minorEastAsia" w:hint="eastAsia"/>
          <w:b/>
          <w:sz w:val="28"/>
          <w:szCs w:val="24"/>
        </w:rPr>
        <w:t>（六）制定一体化管理制度</w:t>
      </w:r>
    </w:p>
    <w:p w:rsidR="007A78DF" w:rsidRDefault="00CA3D74">
      <w:pPr>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用一段话阐述本学院拟组建的一体化建设专家组的运行情况，一体化建设管理制度的涵盖内容和建设情况。</w:t>
      </w:r>
    </w:p>
    <w:p w:rsidR="007A78DF" w:rsidRDefault="00CA3D74">
      <w:pPr>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梳理本学院现有的学科建设、专业建设、课程建设管理制度的基础上，依据上述目标具体阐述组建一体化建设专家组、制定涵盖行政管理、科研管理、教育教学管理等在内的一体化建设管理制度等建设举措。</w:t>
      </w:r>
    </w:p>
    <w:p w:rsidR="007A78DF" w:rsidRDefault="00CA3D74">
      <w:pPr>
        <w:jc w:val="left"/>
        <w:rPr>
          <w:rFonts w:asciiTheme="minorEastAsia" w:hAnsiTheme="minorEastAsia"/>
          <w:b/>
          <w:sz w:val="28"/>
          <w:szCs w:val="24"/>
        </w:rPr>
      </w:pPr>
      <w:r>
        <w:rPr>
          <w:rFonts w:asciiTheme="minorEastAsia" w:hAnsiTheme="minorEastAsia" w:hint="eastAsia"/>
          <w:b/>
          <w:sz w:val="28"/>
          <w:szCs w:val="24"/>
        </w:rPr>
        <w:t>（七）建立一体化评价体系</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用一段话阐述本学院科学研究成果对人才培养和课程建设的支撑程度，拟建立的一体化评价体系的构建和运行情况。</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ind w:firstLineChars="200" w:firstLine="480"/>
        <w:jc w:val="left"/>
        <w:rPr>
          <w:rFonts w:asciiTheme="minorEastAsia" w:hAnsiTheme="minorEastAsia"/>
          <w:sz w:val="24"/>
          <w:szCs w:val="24"/>
        </w:rPr>
      </w:pPr>
      <w:r>
        <w:rPr>
          <w:rFonts w:asciiTheme="minorEastAsia" w:hAnsiTheme="minorEastAsia" w:hint="eastAsia"/>
          <w:sz w:val="24"/>
          <w:szCs w:val="24"/>
        </w:rPr>
        <w:t>梳理本学院现有学科、专业和课程评价体系的基础上，依据上述目标具体阐述构建涵盖团队建设、科学研究、实践平台、制度建设等的一体化评价体系、多元主体共同运行一体化评价体系等建设举措。</w:t>
      </w:r>
    </w:p>
    <w:p w:rsidR="007A78DF" w:rsidRDefault="00CA3D74">
      <w:pPr>
        <w:spacing w:line="360" w:lineRule="auto"/>
        <w:jc w:val="left"/>
        <w:rPr>
          <w:rFonts w:asciiTheme="minorEastAsia" w:hAnsiTheme="minorEastAsia"/>
          <w:b/>
          <w:sz w:val="28"/>
          <w:szCs w:val="24"/>
        </w:rPr>
      </w:pPr>
      <w:r>
        <w:rPr>
          <w:rFonts w:asciiTheme="minorEastAsia" w:hAnsiTheme="minorEastAsia" w:hint="eastAsia"/>
          <w:b/>
          <w:sz w:val="28"/>
          <w:szCs w:val="24"/>
        </w:rPr>
        <w:t>（八）打造一体化文化生态</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1.目标</w:t>
      </w:r>
    </w:p>
    <w:p w:rsidR="007A78DF" w:rsidRDefault="00CA3D74">
      <w:pPr>
        <w:spacing w:line="360" w:lineRule="auto"/>
        <w:ind w:firstLine="480"/>
        <w:jc w:val="left"/>
        <w:rPr>
          <w:rFonts w:asciiTheme="minorEastAsia" w:hAnsiTheme="minorEastAsia"/>
          <w:sz w:val="24"/>
          <w:szCs w:val="24"/>
        </w:rPr>
      </w:pPr>
      <w:r>
        <w:rPr>
          <w:rFonts w:asciiTheme="minorEastAsia" w:hAnsiTheme="minorEastAsia" w:hint="eastAsia"/>
          <w:sz w:val="24"/>
          <w:szCs w:val="24"/>
        </w:rPr>
        <w:t>用一段话阐述本学院拟建成的学科文化、专业文化与课程文化的整体格局，学科专业和课程建设成果的物化表现形式建设情况。</w:t>
      </w:r>
    </w:p>
    <w:p w:rsidR="007A78DF" w:rsidRDefault="00CA3D74">
      <w:pPr>
        <w:spacing w:line="360" w:lineRule="auto"/>
        <w:jc w:val="left"/>
        <w:rPr>
          <w:rFonts w:asciiTheme="minorEastAsia" w:hAnsiTheme="minorEastAsia"/>
          <w:b/>
          <w:sz w:val="24"/>
          <w:szCs w:val="24"/>
        </w:rPr>
      </w:pPr>
      <w:r>
        <w:rPr>
          <w:rFonts w:asciiTheme="minorEastAsia" w:hAnsiTheme="minorEastAsia" w:hint="eastAsia"/>
          <w:b/>
          <w:sz w:val="24"/>
          <w:szCs w:val="24"/>
        </w:rPr>
        <w:t>2.措施</w:t>
      </w:r>
    </w:p>
    <w:p w:rsidR="007A78DF" w:rsidRDefault="00CA3D74">
      <w:pPr>
        <w:spacing w:line="360" w:lineRule="auto"/>
        <w:jc w:val="left"/>
        <w:rPr>
          <w:rFonts w:asciiTheme="minorEastAsia" w:hAnsiTheme="minorEastAsia"/>
          <w:sz w:val="24"/>
          <w:szCs w:val="24"/>
        </w:rPr>
      </w:pPr>
      <w:r>
        <w:rPr>
          <w:rFonts w:asciiTheme="minorEastAsia" w:hAnsiTheme="minorEastAsia" w:hint="eastAsia"/>
          <w:sz w:val="24"/>
          <w:szCs w:val="24"/>
        </w:rPr>
        <w:t xml:space="preserve">    梳理本学院现有学科文化、专业文化与课程文化建设情况，依据上述目标具体阐述统筹规划学院文化建设、设计并开发学科建设、专业建设成果和课程建设成果的物化表现形式等建设举措。</w:t>
      </w:r>
    </w:p>
    <w:p w:rsidR="007A78DF" w:rsidRDefault="007A78DF">
      <w:pPr>
        <w:spacing w:line="360" w:lineRule="auto"/>
        <w:ind w:firstLine="480"/>
        <w:jc w:val="left"/>
        <w:rPr>
          <w:rFonts w:asciiTheme="minorEastAsia" w:hAnsiTheme="minorEastAsia"/>
          <w:sz w:val="24"/>
          <w:szCs w:val="24"/>
        </w:rPr>
      </w:pPr>
    </w:p>
    <w:p w:rsidR="007A78DF" w:rsidRDefault="007A78DF">
      <w:pPr>
        <w:jc w:val="left"/>
        <w:rPr>
          <w:rFonts w:asciiTheme="minorEastAsia" w:hAnsiTheme="minorEastAsia"/>
          <w:b/>
          <w:sz w:val="28"/>
          <w:szCs w:val="24"/>
        </w:rPr>
        <w:sectPr w:rsidR="007A78DF">
          <w:pgSz w:w="11906" w:h="16838"/>
          <w:pgMar w:top="1440" w:right="1800" w:bottom="1440" w:left="1800" w:header="851" w:footer="992" w:gutter="0"/>
          <w:cols w:space="425"/>
          <w:docGrid w:type="lines" w:linePitch="312"/>
        </w:sectPr>
      </w:pPr>
    </w:p>
    <w:p w:rsidR="007A78DF" w:rsidRDefault="00CA3D74">
      <w:pPr>
        <w:jc w:val="left"/>
        <w:rPr>
          <w:rFonts w:asciiTheme="minorEastAsia" w:hAnsiTheme="minorEastAsia"/>
          <w:b/>
          <w:sz w:val="28"/>
          <w:szCs w:val="24"/>
        </w:rPr>
      </w:pPr>
      <w:r>
        <w:rPr>
          <w:rFonts w:asciiTheme="minorEastAsia" w:hAnsiTheme="minorEastAsia" w:hint="eastAsia"/>
          <w:b/>
          <w:sz w:val="28"/>
          <w:szCs w:val="24"/>
        </w:rPr>
        <w:lastRenderedPageBreak/>
        <w:t>四、分项进度表</w:t>
      </w:r>
    </w:p>
    <w:p w:rsidR="007A78DF" w:rsidRDefault="00CA3D74">
      <w:pPr>
        <w:spacing w:line="360" w:lineRule="auto"/>
        <w:ind w:firstLineChars="200" w:firstLine="562"/>
        <w:jc w:val="center"/>
        <w:rPr>
          <w:rFonts w:ascii="Times New Roman" w:eastAsia="宋体" w:hAnsi="Times New Roman" w:cs="Times New Roman"/>
          <w:b/>
          <w:bCs/>
          <w:sz w:val="28"/>
          <w:szCs w:val="24"/>
        </w:rPr>
      </w:pPr>
      <w:r>
        <w:rPr>
          <w:rFonts w:ascii="Times New Roman" w:eastAsia="宋体" w:hAnsi="Times New Roman" w:cs="Times New Roman"/>
          <w:b/>
          <w:bCs/>
          <w:sz w:val="28"/>
          <w:szCs w:val="24"/>
        </w:rPr>
        <w:t>XX</w:t>
      </w:r>
      <w:r>
        <w:rPr>
          <w:rFonts w:ascii="Times New Roman" w:eastAsia="宋体" w:hAnsi="宋体" w:cs="宋体" w:hint="eastAsia"/>
          <w:b/>
          <w:bCs/>
          <w:sz w:val="28"/>
          <w:szCs w:val="24"/>
        </w:rPr>
        <w:t>学院</w:t>
      </w:r>
      <w:r>
        <w:rPr>
          <w:rFonts w:ascii="Times New Roman" w:eastAsia="宋体" w:hAnsi="Times New Roman" w:cs="Times New Roman" w:hint="eastAsia"/>
          <w:b/>
          <w:bCs/>
          <w:sz w:val="28"/>
          <w:szCs w:val="24"/>
        </w:rPr>
        <w:t>学科专业课程一体化建设</w:t>
      </w:r>
      <w:r>
        <w:rPr>
          <w:rFonts w:ascii="Times New Roman" w:eastAsia="宋体" w:hAnsi="宋体" w:cs="宋体" w:hint="eastAsia"/>
          <w:b/>
          <w:bCs/>
          <w:sz w:val="28"/>
          <w:szCs w:val="24"/>
        </w:rPr>
        <w:t>分项进度表</w:t>
      </w:r>
    </w:p>
    <w:tbl>
      <w:tblPr>
        <w:tblW w:w="7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1276"/>
        <w:gridCol w:w="1276"/>
        <w:gridCol w:w="1140"/>
        <w:gridCol w:w="1010"/>
        <w:gridCol w:w="1010"/>
        <w:gridCol w:w="1096"/>
      </w:tblGrid>
      <w:tr w:rsidR="007A78DF">
        <w:trPr>
          <w:trHeight w:val="522"/>
          <w:jc w:val="center"/>
        </w:trPr>
        <w:tc>
          <w:tcPr>
            <w:tcW w:w="833" w:type="dxa"/>
            <w:vAlign w:val="center"/>
          </w:tcPr>
          <w:p w:rsidR="007A78DF" w:rsidRDefault="00CA3D74">
            <w:pPr>
              <w:spacing w:line="360" w:lineRule="auto"/>
              <w:jc w:val="center"/>
              <w:rPr>
                <w:rFonts w:asciiTheme="minorEastAsia" w:hAnsiTheme="minorEastAsia" w:cs="宋体"/>
                <w:bCs/>
                <w:sz w:val="24"/>
                <w:szCs w:val="24"/>
              </w:rPr>
            </w:pPr>
            <w:r>
              <w:rPr>
                <w:rFonts w:asciiTheme="minorEastAsia" w:hAnsiTheme="minorEastAsia" w:cs="宋体" w:hint="eastAsia"/>
                <w:bCs/>
                <w:sz w:val="24"/>
                <w:szCs w:val="24"/>
              </w:rPr>
              <w:t>序号</w:t>
            </w:r>
          </w:p>
        </w:tc>
        <w:tc>
          <w:tcPr>
            <w:tcW w:w="2552" w:type="dxa"/>
            <w:gridSpan w:val="2"/>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宋体" w:hint="eastAsia"/>
                <w:bCs/>
                <w:sz w:val="24"/>
                <w:szCs w:val="24"/>
              </w:rPr>
              <w:t>一体化建设项目</w:t>
            </w:r>
          </w:p>
        </w:tc>
        <w:tc>
          <w:tcPr>
            <w:tcW w:w="1140" w:type="dxa"/>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bCs/>
                <w:sz w:val="24"/>
                <w:szCs w:val="24"/>
              </w:rPr>
              <w:t>20</w:t>
            </w:r>
            <w:r>
              <w:rPr>
                <w:rFonts w:asciiTheme="minorEastAsia" w:hAnsiTheme="minorEastAsia" w:cs="Times New Roman" w:hint="eastAsia"/>
                <w:bCs/>
                <w:sz w:val="24"/>
                <w:szCs w:val="24"/>
              </w:rPr>
              <w:t>24</w:t>
            </w:r>
            <w:r>
              <w:rPr>
                <w:rFonts w:asciiTheme="minorEastAsia" w:hAnsiTheme="minorEastAsia" w:cs="宋体" w:hint="eastAsia"/>
                <w:bCs/>
                <w:sz w:val="24"/>
                <w:szCs w:val="24"/>
              </w:rPr>
              <w:t>年</w:t>
            </w:r>
          </w:p>
        </w:tc>
        <w:tc>
          <w:tcPr>
            <w:tcW w:w="1010" w:type="dxa"/>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bCs/>
                <w:sz w:val="24"/>
                <w:szCs w:val="24"/>
              </w:rPr>
              <w:t>20</w:t>
            </w:r>
            <w:r>
              <w:rPr>
                <w:rFonts w:asciiTheme="minorEastAsia" w:hAnsiTheme="minorEastAsia" w:cs="Times New Roman" w:hint="eastAsia"/>
                <w:bCs/>
                <w:sz w:val="24"/>
                <w:szCs w:val="24"/>
              </w:rPr>
              <w:t>26</w:t>
            </w:r>
            <w:r>
              <w:rPr>
                <w:rFonts w:asciiTheme="minorEastAsia" w:hAnsiTheme="minorEastAsia" w:cs="宋体" w:hint="eastAsia"/>
                <w:bCs/>
                <w:sz w:val="24"/>
                <w:szCs w:val="24"/>
              </w:rPr>
              <w:t>年</w:t>
            </w:r>
          </w:p>
        </w:tc>
        <w:tc>
          <w:tcPr>
            <w:tcW w:w="1010" w:type="dxa"/>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bCs/>
                <w:sz w:val="24"/>
                <w:szCs w:val="24"/>
              </w:rPr>
              <w:t>20</w:t>
            </w:r>
            <w:r>
              <w:rPr>
                <w:rFonts w:asciiTheme="minorEastAsia" w:hAnsiTheme="minorEastAsia" w:cs="Times New Roman" w:hint="eastAsia"/>
                <w:bCs/>
                <w:sz w:val="24"/>
                <w:szCs w:val="24"/>
              </w:rPr>
              <w:t>28</w:t>
            </w:r>
            <w:r>
              <w:rPr>
                <w:rFonts w:asciiTheme="minorEastAsia" w:hAnsiTheme="minorEastAsia" w:cs="宋体" w:hint="eastAsia"/>
                <w:bCs/>
                <w:sz w:val="24"/>
                <w:szCs w:val="24"/>
              </w:rPr>
              <w:t>年</w:t>
            </w:r>
          </w:p>
        </w:tc>
        <w:tc>
          <w:tcPr>
            <w:tcW w:w="1096" w:type="dxa"/>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bCs/>
                <w:sz w:val="24"/>
                <w:szCs w:val="24"/>
              </w:rPr>
              <w:t>20</w:t>
            </w:r>
            <w:r>
              <w:rPr>
                <w:rFonts w:asciiTheme="minorEastAsia" w:hAnsiTheme="minorEastAsia" w:cs="Times New Roman" w:hint="eastAsia"/>
                <w:bCs/>
                <w:sz w:val="24"/>
                <w:szCs w:val="24"/>
              </w:rPr>
              <w:t>3</w:t>
            </w:r>
            <w:r>
              <w:rPr>
                <w:rFonts w:asciiTheme="minorEastAsia" w:hAnsiTheme="minorEastAsia" w:cs="Times New Roman"/>
                <w:bCs/>
                <w:sz w:val="24"/>
                <w:szCs w:val="24"/>
              </w:rPr>
              <w:t>0</w:t>
            </w:r>
            <w:r>
              <w:rPr>
                <w:rFonts w:asciiTheme="minorEastAsia" w:hAnsiTheme="minorEastAsia" w:cs="宋体" w:hint="eastAsia"/>
                <w:bCs/>
                <w:sz w:val="24"/>
                <w:szCs w:val="24"/>
              </w:rPr>
              <w:t>年</w:t>
            </w:r>
          </w:p>
        </w:tc>
      </w:tr>
      <w:tr w:rsidR="007A78DF">
        <w:trPr>
          <w:trHeight w:val="303"/>
          <w:jc w:val="center"/>
        </w:trPr>
        <w:tc>
          <w:tcPr>
            <w:tcW w:w="833" w:type="dxa"/>
            <w:vMerge w:val="restart"/>
            <w:vAlign w:val="center"/>
          </w:tcPr>
          <w:p w:rsidR="007A78DF" w:rsidRDefault="00CA3D74">
            <w:pPr>
              <w:spacing w:line="360" w:lineRule="auto"/>
              <w:jc w:val="center"/>
              <w:rPr>
                <w:rFonts w:asciiTheme="minorEastAsia" w:hAnsiTheme="minorEastAsia" w:cs="宋体"/>
                <w:bCs/>
                <w:sz w:val="24"/>
                <w:szCs w:val="24"/>
              </w:rPr>
            </w:pPr>
            <w:r>
              <w:rPr>
                <w:rFonts w:asciiTheme="minorEastAsia" w:hAnsiTheme="minorEastAsia" w:cs="宋体" w:hint="eastAsia"/>
                <w:bCs/>
                <w:sz w:val="24"/>
                <w:szCs w:val="24"/>
              </w:rPr>
              <w:t>1</w:t>
            </w:r>
          </w:p>
        </w:tc>
        <w:tc>
          <w:tcPr>
            <w:tcW w:w="1276" w:type="dxa"/>
            <w:vMerge w:val="restart"/>
            <w:vAlign w:val="center"/>
          </w:tcPr>
          <w:p w:rsidR="007A78DF" w:rsidRDefault="00CA3D74">
            <w:pPr>
              <w:spacing w:line="360" w:lineRule="auto"/>
              <w:jc w:val="center"/>
              <w:rPr>
                <w:rFonts w:asciiTheme="minorEastAsia" w:hAnsiTheme="minorEastAsia" w:cs="宋体"/>
                <w:bCs/>
                <w:sz w:val="24"/>
                <w:szCs w:val="24"/>
              </w:rPr>
            </w:pPr>
            <w:r>
              <w:rPr>
                <w:rFonts w:asciiTheme="minorEastAsia" w:hAnsiTheme="minorEastAsia" w:cs="宋体" w:hint="eastAsia"/>
                <w:bCs/>
                <w:sz w:val="24"/>
                <w:szCs w:val="24"/>
              </w:rPr>
              <w:t>建设理念</w:t>
            </w: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预期目标</w:t>
            </w:r>
          </w:p>
        </w:tc>
        <w:tc>
          <w:tcPr>
            <w:tcW w:w="1140" w:type="dxa"/>
            <w:vAlign w:val="center"/>
          </w:tcPr>
          <w:p w:rsidR="007A78DF" w:rsidRDefault="00CA3D74">
            <w:pPr>
              <w:spacing w:line="360" w:lineRule="auto"/>
              <w:rPr>
                <w:rFonts w:asciiTheme="minorEastAsia" w:hAnsiTheme="minorEastAsia" w:cs="Times New Roman"/>
                <w:sz w:val="24"/>
                <w:szCs w:val="24"/>
              </w:rPr>
            </w:pPr>
            <w:r>
              <w:rPr>
                <w:rFonts w:asciiTheme="minorEastAsia" w:hAnsiTheme="minorEastAsia" w:cs="Times New Roman"/>
                <w:sz w:val="24"/>
                <w:szCs w:val="24"/>
              </w:rPr>
              <w:t>1.</w:t>
            </w:r>
          </w:p>
          <w:p w:rsidR="007A78DF" w:rsidRDefault="00CA3D74">
            <w:pPr>
              <w:spacing w:line="360" w:lineRule="auto"/>
              <w:rPr>
                <w:rFonts w:asciiTheme="minorEastAsia" w:hAnsiTheme="minorEastAsia" w:cs="Times New Roman"/>
                <w:sz w:val="24"/>
                <w:szCs w:val="24"/>
              </w:rPr>
            </w:pPr>
            <w:r>
              <w:rPr>
                <w:rFonts w:asciiTheme="minorEastAsia" w:hAnsiTheme="minorEastAsia" w:cs="Times New Roman"/>
                <w:sz w:val="24"/>
                <w:szCs w:val="24"/>
              </w:rPr>
              <w:t>2.</w:t>
            </w:r>
          </w:p>
          <w:p w:rsidR="007A78DF" w:rsidRDefault="00CA3D74">
            <w:pPr>
              <w:spacing w:line="360" w:lineRule="auto"/>
              <w:rPr>
                <w:rFonts w:asciiTheme="minorEastAsia" w:hAnsiTheme="minorEastAsia" w:cs="Times New Roman"/>
                <w:sz w:val="24"/>
                <w:szCs w:val="24"/>
              </w:rPr>
            </w:pPr>
            <w:r>
              <w:rPr>
                <w:rFonts w:asciiTheme="minorEastAsia" w:hAnsiTheme="minorEastAsia" w:cs="Times New Roman"/>
                <w:sz w:val="24"/>
                <w:szCs w:val="24"/>
              </w:rPr>
              <w:t>……</w:t>
            </w: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303"/>
          <w:jc w:val="center"/>
        </w:trPr>
        <w:tc>
          <w:tcPr>
            <w:tcW w:w="833" w:type="dxa"/>
            <w:vMerge/>
            <w:vAlign w:val="center"/>
          </w:tcPr>
          <w:p w:rsidR="007A78DF" w:rsidRDefault="007A78DF">
            <w:pPr>
              <w:spacing w:line="360" w:lineRule="auto"/>
              <w:jc w:val="center"/>
              <w:rPr>
                <w:rFonts w:asciiTheme="minorEastAsia" w:hAnsiTheme="minorEastAsia" w:cs="宋体"/>
                <w:bCs/>
                <w:sz w:val="24"/>
                <w:szCs w:val="24"/>
              </w:rPr>
            </w:pPr>
          </w:p>
        </w:tc>
        <w:tc>
          <w:tcPr>
            <w:tcW w:w="1276" w:type="dxa"/>
            <w:vMerge/>
            <w:vAlign w:val="center"/>
          </w:tcPr>
          <w:p w:rsidR="007A78DF" w:rsidRDefault="007A78DF">
            <w:pPr>
              <w:spacing w:line="360" w:lineRule="auto"/>
              <w:jc w:val="center"/>
              <w:rPr>
                <w:rFonts w:asciiTheme="minorEastAsia" w:hAnsiTheme="minorEastAsia" w:cs="宋体"/>
                <w:bCs/>
                <w:sz w:val="24"/>
                <w:szCs w:val="24"/>
              </w:rPr>
            </w:pP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验收要点</w:t>
            </w:r>
          </w:p>
        </w:tc>
        <w:tc>
          <w:tcPr>
            <w:tcW w:w="1140" w:type="dxa"/>
            <w:vAlign w:val="center"/>
          </w:tcPr>
          <w:p w:rsidR="007A78DF" w:rsidRDefault="00CA3D74">
            <w:pPr>
              <w:spacing w:line="360" w:lineRule="auto"/>
              <w:rPr>
                <w:rFonts w:asciiTheme="minorEastAsia" w:hAnsiTheme="minorEastAsia" w:cs="Times New Roman"/>
                <w:sz w:val="24"/>
                <w:szCs w:val="24"/>
              </w:rPr>
            </w:pPr>
            <w:r>
              <w:rPr>
                <w:rFonts w:asciiTheme="minorEastAsia" w:hAnsiTheme="minorEastAsia" w:cs="Times New Roman"/>
                <w:sz w:val="24"/>
                <w:szCs w:val="24"/>
              </w:rPr>
              <w:t>1.</w:t>
            </w:r>
          </w:p>
          <w:p w:rsidR="007A78DF" w:rsidRDefault="00CA3D74">
            <w:pPr>
              <w:spacing w:line="360" w:lineRule="auto"/>
              <w:rPr>
                <w:rFonts w:asciiTheme="minorEastAsia" w:hAnsiTheme="minorEastAsia" w:cs="Times New Roman"/>
                <w:sz w:val="24"/>
                <w:szCs w:val="24"/>
              </w:rPr>
            </w:pPr>
            <w:r>
              <w:rPr>
                <w:rFonts w:asciiTheme="minorEastAsia" w:hAnsiTheme="minorEastAsia" w:cs="Times New Roman"/>
                <w:sz w:val="24"/>
                <w:szCs w:val="24"/>
              </w:rPr>
              <w:t>2.</w:t>
            </w:r>
          </w:p>
          <w:p w:rsidR="007A78DF" w:rsidRDefault="00CA3D74">
            <w:pPr>
              <w:spacing w:line="360" w:lineRule="auto"/>
              <w:rPr>
                <w:rFonts w:asciiTheme="minorEastAsia" w:hAnsiTheme="minorEastAsia" w:cs="Times New Roman"/>
                <w:sz w:val="24"/>
                <w:szCs w:val="24"/>
              </w:rPr>
            </w:pPr>
            <w:r>
              <w:rPr>
                <w:rFonts w:asciiTheme="minorEastAsia" w:hAnsiTheme="minorEastAsia" w:cs="Times New Roman" w:hint="eastAsia"/>
                <w:sz w:val="24"/>
                <w:szCs w:val="24"/>
              </w:rPr>
              <w:t>……</w:t>
            </w: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303"/>
          <w:jc w:val="center"/>
        </w:trPr>
        <w:tc>
          <w:tcPr>
            <w:tcW w:w="833" w:type="dxa"/>
            <w:vMerge w:val="restart"/>
            <w:vAlign w:val="center"/>
          </w:tcPr>
          <w:p w:rsidR="007A78DF" w:rsidRDefault="00CA3D74">
            <w:pPr>
              <w:spacing w:line="360" w:lineRule="auto"/>
              <w:jc w:val="center"/>
              <w:rPr>
                <w:rFonts w:asciiTheme="minorEastAsia" w:hAnsiTheme="minorEastAsia" w:cs="宋体"/>
                <w:bCs/>
                <w:sz w:val="24"/>
                <w:szCs w:val="24"/>
              </w:rPr>
            </w:pPr>
            <w:r>
              <w:rPr>
                <w:rFonts w:asciiTheme="minorEastAsia" w:hAnsiTheme="minorEastAsia" w:cs="宋体" w:hint="eastAsia"/>
                <w:bCs/>
                <w:sz w:val="24"/>
                <w:szCs w:val="24"/>
              </w:rPr>
              <w:t>2</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宋体" w:hint="eastAsia"/>
                <w:bCs/>
                <w:sz w:val="24"/>
                <w:szCs w:val="24"/>
              </w:rPr>
              <w:t>教师团队</w:t>
            </w:r>
          </w:p>
        </w:tc>
        <w:tc>
          <w:tcPr>
            <w:tcW w:w="1276" w:type="dxa"/>
            <w:vAlign w:val="center"/>
          </w:tcPr>
          <w:p w:rsidR="007A78DF" w:rsidRDefault="00CA3D74">
            <w:pPr>
              <w:spacing w:line="360" w:lineRule="auto"/>
              <w:jc w:val="center"/>
              <w:rPr>
                <w:rFonts w:asciiTheme="minorEastAsia" w:hAnsiTheme="minorEastAsia" w:cs="Times New Roman"/>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19"/>
          <w:jc w:val="center"/>
        </w:trPr>
        <w:tc>
          <w:tcPr>
            <w:tcW w:w="833"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Times New Roman"/>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53"/>
          <w:jc w:val="center"/>
        </w:trPr>
        <w:tc>
          <w:tcPr>
            <w:tcW w:w="833" w:type="dxa"/>
            <w:vMerge w:val="restart"/>
            <w:vAlign w:val="center"/>
          </w:tcPr>
          <w:p w:rsidR="007A78DF" w:rsidRDefault="00CA3D74">
            <w:pPr>
              <w:spacing w:line="360" w:lineRule="auto"/>
              <w:jc w:val="center"/>
              <w:rPr>
                <w:rFonts w:asciiTheme="minorEastAsia" w:hAnsiTheme="minorEastAsia" w:cs="宋体"/>
                <w:bCs/>
                <w:sz w:val="24"/>
                <w:szCs w:val="24"/>
              </w:rPr>
            </w:pPr>
            <w:r>
              <w:rPr>
                <w:rFonts w:asciiTheme="minorEastAsia" w:hAnsiTheme="minorEastAsia" w:cs="宋体" w:hint="eastAsia"/>
                <w:bCs/>
                <w:sz w:val="24"/>
                <w:szCs w:val="24"/>
              </w:rPr>
              <w:t>3</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宋体" w:hint="eastAsia"/>
                <w:bCs/>
                <w:sz w:val="24"/>
                <w:szCs w:val="24"/>
              </w:rPr>
              <w:t>科学研究</w:t>
            </w:r>
          </w:p>
        </w:tc>
        <w:tc>
          <w:tcPr>
            <w:tcW w:w="1276" w:type="dxa"/>
            <w:vAlign w:val="center"/>
          </w:tcPr>
          <w:p w:rsidR="007A78DF" w:rsidRDefault="00CA3D74">
            <w:pPr>
              <w:spacing w:line="360" w:lineRule="auto"/>
              <w:jc w:val="center"/>
              <w:rPr>
                <w:rFonts w:asciiTheme="minorEastAsia" w:hAnsiTheme="minorEastAsia" w:cs="Times New Roman"/>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Times New Roman"/>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4</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实践平台</w:t>
            </w: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5</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保障制度</w:t>
            </w: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6</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管理制度</w:t>
            </w: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7</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评价体系</w:t>
            </w: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Merge/>
            <w:vAlign w:val="center"/>
          </w:tcPr>
          <w:p w:rsidR="007A78DF" w:rsidRDefault="007A78DF">
            <w:pPr>
              <w:spacing w:line="360" w:lineRule="auto"/>
              <w:jc w:val="center"/>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8</w:t>
            </w:r>
          </w:p>
        </w:tc>
        <w:tc>
          <w:tcPr>
            <w:tcW w:w="1276" w:type="dxa"/>
            <w:vMerge w:val="restart"/>
            <w:vAlign w:val="center"/>
          </w:tcPr>
          <w:p w:rsidR="007A78DF" w:rsidRDefault="00CA3D74">
            <w:pPr>
              <w:spacing w:line="360" w:lineRule="auto"/>
              <w:jc w:val="center"/>
              <w:rPr>
                <w:rFonts w:asciiTheme="minorEastAsia" w:hAnsiTheme="minorEastAsia" w:cs="Times New Roman"/>
                <w:bCs/>
                <w:sz w:val="24"/>
                <w:szCs w:val="24"/>
              </w:rPr>
            </w:pPr>
            <w:r>
              <w:rPr>
                <w:rFonts w:asciiTheme="minorEastAsia" w:hAnsiTheme="minorEastAsia" w:cs="Times New Roman" w:hint="eastAsia"/>
                <w:bCs/>
                <w:sz w:val="24"/>
                <w:szCs w:val="24"/>
              </w:rPr>
              <w:t>文化生态</w:t>
            </w: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预期目标</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r w:rsidR="007A78DF">
        <w:trPr>
          <w:trHeight w:val="269"/>
          <w:jc w:val="center"/>
        </w:trPr>
        <w:tc>
          <w:tcPr>
            <w:tcW w:w="833" w:type="dxa"/>
            <w:vMerge/>
            <w:vAlign w:val="center"/>
          </w:tcPr>
          <w:p w:rsidR="007A78DF" w:rsidRDefault="007A78DF">
            <w:pPr>
              <w:spacing w:line="360" w:lineRule="auto"/>
              <w:rPr>
                <w:rFonts w:asciiTheme="minorEastAsia" w:hAnsiTheme="minorEastAsia" w:cs="Times New Roman"/>
                <w:bCs/>
                <w:sz w:val="24"/>
                <w:szCs w:val="24"/>
              </w:rPr>
            </w:pPr>
          </w:p>
        </w:tc>
        <w:tc>
          <w:tcPr>
            <w:tcW w:w="1276" w:type="dxa"/>
            <w:vMerge/>
            <w:vAlign w:val="center"/>
          </w:tcPr>
          <w:p w:rsidR="007A78DF" w:rsidRDefault="007A78DF">
            <w:pPr>
              <w:spacing w:line="360" w:lineRule="auto"/>
              <w:rPr>
                <w:rFonts w:asciiTheme="minorEastAsia" w:hAnsiTheme="minorEastAsia" w:cs="Times New Roman"/>
                <w:bCs/>
                <w:sz w:val="24"/>
                <w:szCs w:val="24"/>
              </w:rPr>
            </w:pPr>
          </w:p>
        </w:tc>
        <w:tc>
          <w:tcPr>
            <w:tcW w:w="1276" w:type="dxa"/>
            <w:vAlign w:val="center"/>
          </w:tcPr>
          <w:p w:rsidR="007A78DF" w:rsidRDefault="00CA3D74">
            <w:pPr>
              <w:spacing w:line="360" w:lineRule="auto"/>
              <w:jc w:val="center"/>
              <w:rPr>
                <w:rFonts w:asciiTheme="minorEastAsia" w:hAnsiTheme="minorEastAsia" w:cs="宋体"/>
                <w:sz w:val="24"/>
                <w:szCs w:val="24"/>
              </w:rPr>
            </w:pPr>
            <w:r>
              <w:rPr>
                <w:rFonts w:asciiTheme="minorEastAsia" w:hAnsiTheme="minorEastAsia" w:cs="宋体" w:hint="eastAsia"/>
                <w:sz w:val="24"/>
                <w:szCs w:val="24"/>
              </w:rPr>
              <w:t>验收要点</w:t>
            </w:r>
          </w:p>
        </w:tc>
        <w:tc>
          <w:tcPr>
            <w:tcW w:w="114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10" w:type="dxa"/>
            <w:vAlign w:val="center"/>
          </w:tcPr>
          <w:p w:rsidR="007A78DF" w:rsidRDefault="007A78DF">
            <w:pPr>
              <w:spacing w:line="360" w:lineRule="auto"/>
              <w:rPr>
                <w:rFonts w:asciiTheme="minorEastAsia" w:hAnsiTheme="minorEastAsia" w:cs="Times New Roman"/>
                <w:sz w:val="24"/>
                <w:szCs w:val="24"/>
              </w:rPr>
            </w:pPr>
          </w:p>
        </w:tc>
        <w:tc>
          <w:tcPr>
            <w:tcW w:w="1096" w:type="dxa"/>
            <w:vAlign w:val="center"/>
          </w:tcPr>
          <w:p w:rsidR="007A78DF" w:rsidRDefault="007A78DF">
            <w:pPr>
              <w:spacing w:line="360" w:lineRule="auto"/>
              <w:rPr>
                <w:rFonts w:asciiTheme="minorEastAsia" w:hAnsiTheme="minorEastAsia" w:cs="Times New Roman"/>
                <w:sz w:val="24"/>
                <w:szCs w:val="24"/>
              </w:rPr>
            </w:pPr>
          </w:p>
        </w:tc>
      </w:tr>
    </w:tbl>
    <w:p w:rsidR="001C2458" w:rsidRPr="007F5F45" w:rsidRDefault="0014281D">
      <w:pPr>
        <w:spacing w:line="360" w:lineRule="auto"/>
        <w:ind w:firstLine="480"/>
        <w:jc w:val="left"/>
        <w:rPr>
          <w:rFonts w:asciiTheme="minorEastAsia" w:hAnsiTheme="minorEastAsia"/>
          <w:b/>
          <w:sz w:val="24"/>
          <w:szCs w:val="24"/>
        </w:rPr>
      </w:pPr>
      <w:r w:rsidRPr="007F5F45">
        <w:rPr>
          <w:rFonts w:asciiTheme="minorEastAsia" w:hAnsiTheme="minorEastAsia" w:hint="eastAsia"/>
          <w:b/>
          <w:sz w:val="24"/>
          <w:szCs w:val="24"/>
        </w:rPr>
        <w:t>注：</w:t>
      </w:r>
      <w:r w:rsidR="001C2458" w:rsidRPr="007F5F45">
        <w:rPr>
          <w:rFonts w:asciiTheme="minorEastAsia" w:hAnsiTheme="minorEastAsia" w:hint="eastAsia"/>
          <w:b/>
          <w:sz w:val="24"/>
          <w:szCs w:val="24"/>
        </w:rPr>
        <w:t>教师团队、科学研究、实践平台应参</w:t>
      </w:r>
      <w:r w:rsidRPr="007F5F45">
        <w:rPr>
          <w:rFonts w:asciiTheme="minorEastAsia" w:hAnsiTheme="minorEastAsia" w:hint="eastAsia"/>
          <w:b/>
          <w:sz w:val="24"/>
          <w:szCs w:val="24"/>
        </w:rPr>
        <w:t>照《学位授权审核申请基本条件（2020）》</w:t>
      </w:r>
      <w:r w:rsidR="001C2458" w:rsidRPr="007F5F45">
        <w:rPr>
          <w:rFonts w:asciiTheme="minorEastAsia" w:hAnsiTheme="minorEastAsia" w:hint="eastAsia"/>
          <w:b/>
          <w:sz w:val="24"/>
          <w:szCs w:val="24"/>
        </w:rPr>
        <w:t>中对应的硕士专业学位授权点申请基本条件进行修订</w:t>
      </w:r>
      <w:r w:rsidR="00624591">
        <w:rPr>
          <w:rFonts w:asciiTheme="minorEastAsia" w:hAnsiTheme="minorEastAsia" w:hint="eastAsia"/>
          <w:b/>
          <w:sz w:val="24"/>
          <w:szCs w:val="24"/>
        </w:rPr>
        <w:t>（制订）</w:t>
      </w:r>
      <w:r w:rsidR="001C2458" w:rsidRPr="007F5F45">
        <w:rPr>
          <w:rFonts w:asciiTheme="minorEastAsia" w:hAnsiTheme="minorEastAsia" w:hint="eastAsia"/>
          <w:b/>
          <w:sz w:val="24"/>
          <w:szCs w:val="24"/>
        </w:rPr>
        <w:t>。</w:t>
      </w:r>
    </w:p>
    <w:p w:rsidR="007A78DF" w:rsidRDefault="007A78DF">
      <w:pPr>
        <w:spacing w:line="360" w:lineRule="auto"/>
        <w:ind w:firstLine="480"/>
        <w:jc w:val="left"/>
        <w:rPr>
          <w:rFonts w:asciiTheme="minorEastAsia" w:hAnsiTheme="minorEastAsia"/>
          <w:sz w:val="24"/>
          <w:szCs w:val="24"/>
        </w:rPr>
      </w:pPr>
    </w:p>
    <w:sectPr w:rsidR="007A78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2E3" w:rsidRDefault="00B752E3" w:rsidP="0014281D">
      <w:r>
        <w:separator/>
      </w:r>
    </w:p>
  </w:endnote>
  <w:endnote w:type="continuationSeparator" w:id="0">
    <w:p w:rsidR="00B752E3" w:rsidRDefault="00B752E3" w:rsidP="00142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2E3" w:rsidRDefault="00B752E3" w:rsidP="0014281D">
      <w:r>
        <w:separator/>
      </w:r>
    </w:p>
  </w:footnote>
  <w:footnote w:type="continuationSeparator" w:id="0">
    <w:p w:rsidR="00B752E3" w:rsidRDefault="00B752E3" w:rsidP="001428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0YzE5YjQ0MzMwMGE0NTkzYTlhMjk3NTUyOWI5NDgifQ=="/>
  </w:docVars>
  <w:rsids>
    <w:rsidRoot w:val="0071440D"/>
    <w:rsid w:val="00002BBC"/>
    <w:rsid w:val="00047FA1"/>
    <w:rsid w:val="000567B2"/>
    <w:rsid w:val="00060848"/>
    <w:rsid w:val="00064CE3"/>
    <w:rsid w:val="00073C15"/>
    <w:rsid w:val="00080C57"/>
    <w:rsid w:val="000E57D0"/>
    <w:rsid w:val="00123605"/>
    <w:rsid w:val="00124BE7"/>
    <w:rsid w:val="00130179"/>
    <w:rsid w:val="0014281D"/>
    <w:rsid w:val="00142B37"/>
    <w:rsid w:val="00142E77"/>
    <w:rsid w:val="00152723"/>
    <w:rsid w:val="00163E98"/>
    <w:rsid w:val="00175B2F"/>
    <w:rsid w:val="00184DEB"/>
    <w:rsid w:val="001930A5"/>
    <w:rsid w:val="0019487F"/>
    <w:rsid w:val="001C10A5"/>
    <w:rsid w:val="001C2458"/>
    <w:rsid w:val="001E5050"/>
    <w:rsid w:val="001F7796"/>
    <w:rsid w:val="0020232F"/>
    <w:rsid w:val="00214894"/>
    <w:rsid w:val="00243E86"/>
    <w:rsid w:val="00284CB6"/>
    <w:rsid w:val="0029227A"/>
    <w:rsid w:val="002931B8"/>
    <w:rsid w:val="00296BCF"/>
    <w:rsid w:val="002A3AE5"/>
    <w:rsid w:val="002B490D"/>
    <w:rsid w:val="002C127A"/>
    <w:rsid w:val="002E5AFB"/>
    <w:rsid w:val="00310600"/>
    <w:rsid w:val="003134C5"/>
    <w:rsid w:val="00313774"/>
    <w:rsid w:val="003A344C"/>
    <w:rsid w:val="003C67D3"/>
    <w:rsid w:val="003F1233"/>
    <w:rsid w:val="0040028C"/>
    <w:rsid w:val="00484CEC"/>
    <w:rsid w:val="0048752D"/>
    <w:rsid w:val="004913C0"/>
    <w:rsid w:val="00494F97"/>
    <w:rsid w:val="004977C1"/>
    <w:rsid w:val="00497C78"/>
    <w:rsid w:val="00497F4D"/>
    <w:rsid w:val="004A5807"/>
    <w:rsid w:val="004A7F8F"/>
    <w:rsid w:val="004B6757"/>
    <w:rsid w:val="004C0F02"/>
    <w:rsid w:val="004C1356"/>
    <w:rsid w:val="004C3F05"/>
    <w:rsid w:val="004E5449"/>
    <w:rsid w:val="004F3985"/>
    <w:rsid w:val="005074D5"/>
    <w:rsid w:val="00540F41"/>
    <w:rsid w:val="00546752"/>
    <w:rsid w:val="00572A99"/>
    <w:rsid w:val="00575677"/>
    <w:rsid w:val="0058211F"/>
    <w:rsid w:val="005856CD"/>
    <w:rsid w:val="00593EF0"/>
    <w:rsid w:val="005A70CC"/>
    <w:rsid w:val="005E1808"/>
    <w:rsid w:val="005E5B25"/>
    <w:rsid w:val="0061280C"/>
    <w:rsid w:val="00624591"/>
    <w:rsid w:val="00637314"/>
    <w:rsid w:val="00651143"/>
    <w:rsid w:val="00654AC6"/>
    <w:rsid w:val="006A3F6B"/>
    <w:rsid w:val="006A56D0"/>
    <w:rsid w:val="006D5330"/>
    <w:rsid w:val="006D5ABA"/>
    <w:rsid w:val="006F76F8"/>
    <w:rsid w:val="0071440D"/>
    <w:rsid w:val="0074024D"/>
    <w:rsid w:val="007429F4"/>
    <w:rsid w:val="00757412"/>
    <w:rsid w:val="00761E99"/>
    <w:rsid w:val="0077293B"/>
    <w:rsid w:val="0078267A"/>
    <w:rsid w:val="007A7250"/>
    <w:rsid w:val="007A78DF"/>
    <w:rsid w:val="007B2336"/>
    <w:rsid w:val="007C225A"/>
    <w:rsid w:val="007C5F6B"/>
    <w:rsid w:val="007C636B"/>
    <w:rsid w:val="007F5F45"/>
    <w:rsid w:val="007F5FC8"/>
    <w:rsid w:val="00801AEC"/>
    <w:rsid w:val="00815CB4"/>
    <w:rsid w:val="008C1D2D"/>
    <w:rsid w:val="00927145"/>
    <w:rsid w:val="0093225D"/>
    <w:rsid w:val="00936056"/>
    <w:rsid w:val="00970323"/>
    <w:rsid w:val="00994720"/>
    <w:rsid w:val="009E0EF4"/>
    <w:rsid w:val="009E4516"/>
    <w:rsid w:val="00A26386"/>
    <w:rsid w:val="00A36B82"/>
    <w:rsid w:val="00A436D4"/>
    <w:rsid w:val="00A4426B"/>
    <w:rsid w:val="00A5510B"/>
    <w:rsid w:val="00AB3B9A"/>
    <w:rsid w:val="00AF0F0C"/>
    <w:rsid w:val="00AF2129"/>
    <w:rsid w:val="00B00D99"/>
    <w:rsid w:val="00B11474"/>
    <w:rsid w:val="00B3783E"/>
    <w:rsid w:val="00B475DD"/>
    <w:rsid w:val="00B752E3"/>
    <w:rsid w:val="00B80682"/>
    <w:rsid w:val="00BB4858"/>
    <w:rsid w:val="00BB6832"/>
    <w:rsid w:val="00BC4741"/>
    <w:rsid w:val="00BD2346"/>
    <w:rsid w:val="00BE3C4A"/>
    <w:rsid w:val="00C0025C"/>
    <w:rsid w:val="00C261C4"/>
    <w:rsid w:val="00C34B71"/>
    <w:rsid w:val="00C36B4A"/>
    <w:rsid w:val="00C55BC7"/>
    <w:rsid w:val="00C56A07"/>
    <w:rsid w:val="00C61A5B"/>
    <w:rsid w:val="00C6201C"/>
    <w:rsid w:val="00C87A6B"/>
    <w:rsid w:val="00CA3D74"/>
    <w:rsid w:val="00CA7C67"/>
    <w:rsid w:val="00CA7E36"/>
    <w:rsid w:val="00CB47C6"/>
    <w:rsid w:val="00D16D44"/>
    <w:rsid w:val="00D5575F"/>
    <w:rsid w:val="00D55D39"/>
    <w:rsid w:val="00D64BDF"/>
    <w:rsid w:val="00D7288B"/>
    <w:rsid w:val="00D75511"/>
    <w:rsid w:val="00D83391"/>
    <w:rsid w:val="00DA56BA"/>
    <w:rsid w:val="00DE4392"/>
    <w:rsid w:val="00E14CAE"/>
    <w:rsid w:val="00E3544D"/>
    <w:rsid w:val="00E3691C"/>
    <w:rsid w:val="00E62E98"/>
    <w:rsid w:val="00EA4BBD"/>
    <w:rsid w:val="00EB2FB0"/>
    <w:rsid w:val="00EB69BD"/>
    <w:rsid w:val="00EB79B3"/>
    <w:rsid w:val="00EE1BD5"/>
    <w:rsid w:val="00EE34EB"/>
    <w:rsid w:val="00EF7254"/>
    <w:rsid w:val="00F4299A"/>
    <w:rsid w:val="00F45568"/>
    <w:rsid w:val="00F55210"/>
    <w:rsid w:val="00F75874"/>
    <w:rsid w:val="00F97FE8"/>
    <w:rsid w:val="00FB2A4D"/>
    <w:rsid w:val="00FB765E"/>
    <w:rsid w:val="00FD0324"/>
    <w:rsid w:val="00FD5966"/>
    <w:rsid w:val="00FE373B"/>
    <w:rsid w:val="00FF5480"/>
    <w:rsid w:val="269E759F"/>
    <w:rsid w:val="28A45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D796B"/>
  <w15:docId w15:val="{6C86C664-D57B-4F78-855C-C43F381CB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305</Words>
  <Characters>1740</Characters>
  <Application>Microsoft Office Word</Application>
  <DocSecurity>0</DocSecurity>
  <Lines>14</Lines>
  <Paragraphs>4</Paragraphs>
  <ScaleCrop>false</ScaleCrop>
  <Company>HP</Company>
  <LinksUpToDate>false</LinksUpToDate>
  <CharactersWithSpaces>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谢静</dc:creator>
  <cp:lastModifiedBy>陈然</cp:lastModifiedBy>
  <cp:revision>63</cp:revision>
  <dcterms:created xsi:type="dcterms:W3CDTF">2019-06-04T06:17:00Z</dcterms:created>
  <dcterms:modified xsi:type="dcterms:W3CDTF">2023-04-20T00:47:00Z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9AE220B7D95B46D3B58D158565887781_13</vt:lpwstr>
  </property>
</Properties>
</file>